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88" w:rsidRDefault="00E122AA" w:rsidP="00F16C22">
      <w:pPr>
        <w:pStyle w:val="BodyText"/>
        <w:ind w:left="7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04689" cy="545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689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E88" w:rsidRDefault="00401E88" w:rsidP="00F16C22">
      <w:pPr>
        <w:pStyle w:val="BodyText"/>
        <w:ind w:left="610"/>
        <w:rPr>
          <w:sz w:val="20"/>
        </w:rPr>
      </w:pPr>
    </w:p>
    <w:p w:rsidR="00401E88" w:rsidRDefault="00401E88" w:rsidP="00F16C22">
      <w:pPr>
        <w:pStyle w:val="BodyText"/>
        <w:spacing w:before="8"/>
        <w:ind w:left="610"/>
        <w:rPr>
          <w:sz w:val="26"/>
        </w:rPr>
      </w:pPr>
    </w:p>
    <w:p w:rsidR="00401E88" w:rsidRPr="002044B0" w:rsidRDefault="00E122AA" w:rsidP="00F16C22">
      <w:pPr>
        <w:pStyle w:val="Title"/>
        <w:ind w:left="610"/>
        <w:rPr>
          <w:sz w:val="44"/>
          <w:szCs w:val="44"/>
        </w:rPr>
      </w:pPr>
      <w:r w:rsidRPr="002044B0">
        <w:rPr>
          <w:spacing w:val="-8"/>
          <w:sz w:val="44"/>
          <w:szCs w:val="44"/>
        </w:rPr>
        <w:t>Assistance</w:t>
      </w:r>
      <w:r w:rsidRPr="002044B0">
        <w:rPr>
          <w:spacing w:val="-29"/>
          <w:sz w:val="44"/>
          <w:szCs w:val="44"/>
        </w:rPr>
        <w:t xml:space="preserve"> </w:t>
      </w:r>
      <w:r w:rsidRPr="002044B0">
        <w:rPr>
          <w:spacing w:val="-8"/>
          <w:sz w:val="44"/>
          <w:szCs w:val="44"/>
        </w:rPr>
        <w:t>Document</w:t>
      </w:r>
      <w:r w:rsidRPr="002044B0">
        <w:rPr>
          <w:spacing w:val="-27"/>
          <w:sz w:val="44"/>
          <w:szCs w:val="44"/>
        </w:rPr>
        <w:t xml:space="preserve"> </w:t>
      </w:r>
      <w:r w:rsidRPr="002044B0">
        <w:rPr>
          <w:spacing w:val="-8"/>
          <w:sz w:val="44"/>
          <w:szCs w:val="44"/>
        </w:rPr>
        <w:t>–</w:t>
      </w:r>
      <w:r w:rsidRPr="002044B0">
        <w:rPr>
          <w:spacing w:val="-27"/>
          <w:sz w:val="44"/>
          <w:szCs w:val="44"/>
        </w:rPr>
        <w:t xml:space="preserve"> </w:t>
      </w:r>
      <w:r w:rsidRPr="002044B0">
        <w:rPr>
          <w:spacing w:val="-8"/>
          <w:sz w:val="44"/>
          <w:szCs w:val="44"/>
        </w:rPr>
        <w:t xml:space="preserve">Cost </w:t>
      </w:r>
      <w:r w:rsidRPr="002044B0">
        <w:rPr>
          <w:spacing w:val="-2"/>
          <w:sz w:val="44"/>
          <w:szCs w:val="44"/>
        </w:rPr>
        <w:t>Transfers</w:t>
      </w:r>
    </w:p>
    <w:p w:rsidR="00401E88" w:rsidRDefault="00E122AA" w:rsidP="00F16C22">
      <w:pPr>
        <w:pStyle w:val="BodyText"/>
        <w:spacing w:before="424" w:line="264" w:lineRule="auto"/>
        <w:ind w:left="650" w:right="422"/>
      </w:pPr>
      <w:r>
        <w:t>Proper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uphold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fiduciary</w:t>
      </w:r>
      <w:r>
        <w:rPr>
          <w:spacing w:val="-8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of the University.</w:t>
      </w:r>
      <w:r>
        <w:rPr>
          <w:spacing w:val="40"/>
        </w:rPr>
        <w:t xml:space="preserve"> </w:t>
      </w:r>
      <w:r>
        <w:t>Federal agencies and other sponsors may regard the following activities as indicative of inadequate fiscal or project monitoring.</w:t>
      </w:r>
    </w:p>
    <w:p w:rsidR="00401E88" w:rsidRDefault="00E122AA" w:rsidP="00F16C22">
      <w:pPr>
        <w:pStyle w:val="ListParagraph"/>
        <w:numPr>
          <w:ilvl w:val="0"/>
          <w:numId w:val="9"/>
        </w:numPr>
        <w:tabs>
          <w:tab w:val="left" w:pos="2199"/>
          <w:tab w:val="left" w:pos="2200"/>
        </w:tabs>
        <w:spacing w:before="124"/>
        <w:ind w:left="1370"/>
        <w:rPr>
          <w:sz w:val="24"/>
        </w:rPr>
      </w:pPr>
      <w:r>
        <w:rPr>
          <w:sz w:val="24"/>
        </w:rPr>
        <w:t>Frequent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transfers</w:t>
      </w:r>
    </w:p>
    <w:p w:rsidR="00401E88" w:rsidRDefault="00E122AA" w:rsidP="00F16C22">
      <w:pPr>
        <w:pStyle w:val="ListParagraph"/>
        <w:numPr>
          <w:ilvl w:val="0"/>
          <w:numId w:val="9"/>
        </w:numPr>
        <w:tabs>
          <w:tab w:val="left" w:pos="2199"/>
          <w:tab w:val="left" w:pos="2200"/>
        </w:tabs>
        <w:spacing w:before="25"/>
        <w:ind w:left="1370"/>
        <w:rPr>
          <w:sz w:val="24"/>
        </w:rPr>
      </w:pPr>
      <w:r>
        <w:rPr>
          <w:sz w:val="24"/>
        </w:rPr>
        <w:t>Late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transfers</w:t>
      </w:r>
    </w:p>
    <w:p w:rsidR="00401E88" w:rsidRDefault="00E122AA" w:rsidP="00F16C22">
      <w:pPr>
        <w:pStyle w:val="ListParagraph"/>
        <w:numPr>
          <w:ilvl w:val="0"/>
          <w:numId w:val="9"/>
        </w:numPr>
        <w:tabs>
          <w:tab w:val="left" w:pos="2199"/>
          <w:tab w:val="left" w:pos="2200"/>
        </w:tabs>
        <w:spacing w:before="27" w:line="261" w:lineRule="auto"/>
        <w:ind w:left="1370" w:right="738"/>
        <w:rPr>
          <w:sz w:val="24"/>
        </w:rPr>
      </w:pPr>
      <w:r>
        <w:rPr>
          <w:sz w:val="24"/>
        </w:rPr>
        <w:t>Inadequately</w:t>
      </w:r>
      <w:r>
        <w:rPr>
          <w:spacing w:val="-10"/>
          <w:sz w:val="24"/>
        </w:rPr>
        <w:t xml:space="preserve"> </w:t>
      </w:r>
      <w:r>
        <w:rPr>
          <w:sz w:val="24"/>
        </w:rPr>
        <w:t>documented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explained</w:t>
      </w:r>
      <w:r>
        <w:rPr>
          <w:spacing w:val="-5"/>
          <w:sz w:val="24"/>
        </w:rPr>
        <w:t xml:space="preserve"> </w:t>
      </w:r>
      <w:r>
        <w:rPr>
          <w:sz w:val="24"/>
        </w:rPr>
        <w:t>transfers,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6"/>
          <w:sz w:val="24"/>
        </w:rPr>
        <w:t xml:space="preserve"> </w:t>
      </w:r>
      <w:r>
        <w:rPr>
          <w:sz w:val="24"/>
        </w:rPr>
        <w:t>which involve sponsored projects with overruns or unexpended balances</w:t>
      </w:r>
    </w:p>
    <w:p w:rsidR="00401E88" w:rsidRDefault="00E122AA" w:rsidP="00F16C22">
      <w:pPr>
        <w:pStyle w:val="BodyText"/>
        <w:spacing w:before="121" w:line="264" w:lineRule="auto"/>
        <w:ind w:left="650" w:right="422"/>
      </w:pPr>
      <w:r>
        <w:t>Diligent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principal investigators and departmental office should prevent the necessity for transfers; however, under certain circumstances transfers may be appropriate.</w:t>
      </w:r>
    </w:p>
    <w:p w:rsidR="00401E88" w:rsidRDefault="00E122AA" w:rsidP="00F16C22">
      <w:pPr>
        <w:pStyle w:val="BodyText"/>
        <w:spacing w:before="121" w:line="264" w:lineRule="auto"/>
        <w:ind w:left="650" w:right="422"/>
      </w:pPr>
      <w:r>
        <w:t>When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transfers</w:t>
      </w:r>
      <w:r>
        <w:rPr>
          <w:spacing w:val="-4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accounts,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 xml:space="preserve">is critical that the transfer meets the requirements for allowability, </w:t>
      </w:r>
      <w:proofErr w:type="spellStart"/>
      <w:r>
        <w:t>allocability</w:t>
      </w:r>
      <w:proofErr w:type="spellEnd"/>
      <w:r>
        <w:t>, reasonableness, and consistency.</w:t>
      </w:r>
    </w:p>
    <w:p w:rsidR="00401E88" w:rsidRDefault="00E122AA" w:rsidP="00F16C22">
      <w:pPr>
        <w:pStyle w:val="BodyText"/>
        <w:spacing w:before="119" w:line="264" w:lineRule="auto"/>
        <w:ind w:left="650" w:right="468"/>
      </w:pPr>
      <w:r>
        <w:t>Cost transfers at Brandeis University are normally implemented via journal</w:t>
      </w:r>
      <w:r>
        <w:rPr>
          <w:spacing w:val="40"/>
        </w:rPr>
        <w:t xml:space="preserve"> </w:t>
      </w:r>
      <w:r>
        <w:t>entries and payroll accounting adjustments in Workday. Before submitting a cost transfer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8">
        <w:r>
          <w:rPr>
            <w:color w:val="944F71"/>
            <w:u w:val="single" w:color="944F71"/>
          </w:rPr>
          <w:t>University</w:t>
        </w:r>
        <w:r>
          <w:rPr>
            <w:color w:val="944F71"/>
            <w:spacing w:val="-8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Cost</w:t>
        </w:r>
        <w:r>
          <w:rPr>
            <w:color w:val="944F71"/>
            <w:spacing w:val="-4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Transfer</w:t>
        </w:r>
        <w:r>
          <w:rPr>
            <w:color w:val="944F71"/>
            <w:spacing w:val="-3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Policy</w:t>
        </w:r>
        <w:r>
          <w:t>.</w:t>
        </w:r>
      </w:hyperlink>
    </w:p>
    <w:p w:rsidR="00401E88" w:rsidRDefault="00401E88" w:rsidP="00F16C22">
      <w:pPr>
        <w:pStyle w:val="BodyText"/>
        <w:spacing w:before="9"/>
        <w:rPr>
          <w:sz w:val="20"/>
        </w:rPr>
      </w:pPr>
    </w:p>
    <w:p w:rsidR="00401E88" w:rsidRDefault="00E122AA" w:rsidP="00F16C22">
      <w:pPr>
        <w:pStyle w:val="Heading1"/>
        <w:spacing w:before="86"/>
        <w:ind w:left="650"/>
      </w:pPr>
      <w:bookmarkStart w:id="0" w:name="Cost_Transfer_Documentation"/>
      <w:bookmarkEnd w:id="0"/>
      <w:r>
        <w:t>Cost</w:t>
      </w:r>
      <w:r>
        <w:rPr>
          <w:spacing w:val="-12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rPr>
          <w:spacing w:val="-2"/>
        </w:rPr>
        <w:t>Documentation</w:t>
      </w:r>
    </w:p>
    <w:p w:rsidR="00401E88" w:rsidRDefault="00E122AA" w:rsidP="00F16C22">
      <w:pPr>
        <w:pStyle w:val="BodyText"/>
        <w:spacing w:line="264" w:lineRule="auto"/>
        <w:ind w:left="650" w:right="422"/>
      </w:pPr>
      <w:r>
        <w:t>Transfer of costs to sponsored programs must be accompanied by acceptable explanations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justifications.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 all such transfers confirm to Brandeis policy and all pertinent regulations.</w:t>
      </w:r>
    </w:p>
    <w:p w:rsidR="00401E88" w:rsidRDefault="00E122AA" w:rsidP="00F16C22">
      <w:pPr>
        <w:pStyle w:val="BodyText"/>
        <w:spacing w:before="119" w:line="264" w:lineRule="auto"/>
        <w:ind w:left="650" w:right="422"/>
      </w:pPr>
      <w:r>
        <w:t>A good justification will allow anyone reviewing the cost transfer to understand what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expense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award(s).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easily</w:t>
      </w:r>
      <w:r>
        <w:rPr>
          <w:spacing w:val="-1"/>
        </w:rPr>
        <w:t xml:space="preserve"> </w:t>
      </w:r>
      <w:r>
        <w:t>understood by</w:t>
      </w:r>
      <w:r>
        <w:rPr>
          <w:spacing w:val="-1"/>
        </w:rPr>
        <w:t xml:space="preserve"> </w:t>
      </w:r>
      <w:r>
        <w:t>anyone reviewing the journal, and provide enough detail to inform approvers and auditors about the action taken. Think, "</w:t>
      </w:r>
      <w:proofErr w:type="gramStart"/>
      <w:r>
        <w:t>if</w:t>
      </w:r>
      <w:proofErr w:type="gramEnd"/>
      <w:r>
        <w:t xml:space="preserve"> I leave my position, will an auditor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understand this request two years from now?"</w:t>
      </w:r>
    </w:p>
    <w:p w:rsidR="00401E88" w:rsidRDefault="00E122AA" w:rsidP="00F16C22">
      <w:pPr>
        <w:pStyle w:val="BodyText"/>
        <w:spacing w:before="119" w:line="264" w:lineRule="auto"/>
        <w:ind w:left="650" w:right="422"/>
      </w:pPr>
      <w:r>
        <w:t>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 types of transfers:</w:t>
      </w:r>
    </w:p>
    <w:p w:rsidR="00401E88" w:rsidRDefault="00401E88" w:rsidP="00F16C22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6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520"/>
        <w:gridCol w:w="2964"/>
      </w:tblGrid>
      <w:tr w:rsidR="00401E88" w:rsidTr="00F16C22">
        <w:trPr>
          <w:trHeight w:val="275"/>
        </w:trPr>
        <w:tc>
          <w:tcPr>
            <w:tcW w:w="2426" w:type="dxa"/>
            <w:tcBorders>
              <w:bottom w:val="single" w:sz="12" w:space="0" w:color="666666"/>
            </w:tcBorders>
          </w:tcPr>
          <w:p w:rsidR="00401E88" w:rsidRDefault="00E122A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520" w:type="dxa"/>
            <w:tcBorders>
              <w:bottom w:val="single" w:sz="12" w:space="0" w:color="666666"/>
            </w:tcBorders>
          </w:tcPr>
          <w:p w:rsidR="00401E88" w:rsidRDefault="00E122AA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 a Single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</w:t>
            </w:r>
          </w:p>
        </w:tc>
        <w:tc>
          <w:tcPr>
            <w:tcW w:w="2964" w:type="dxa"/>
            <w:tcBorders>
              <w:bottom w:val="single" w:sz="12" w:space="0" w:color="666666"/>
            </w:tcBorders>
          </w:tcPr>
          <w:p w:rsidR="00401E88" w:rsidRDefault="00E122AA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Multiple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Projects</w:t>
            </w:r>
          </w:p>
        </w:tc>
      </w:tr>
      <w:tr w:rsidR="00401E88" w:rsidTr="00F16C22">
        <w:trPr>
          <w:trHeight w:val="553"/>
        </w:trPr>
        <w:tc>
          <w:tcPr>
            <w:tcW w:w="2426" w:type="dxa"/>
            <w:tcBorders>
              <w:top w:val="single" w:sz="12" w:space="0" w:color="666666"/>
            </w:tcBorders>
          </w:tcPr>
          <w:p w:rsidR="00401E88" w:rsidRDefault="00E122A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from 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expense:</w:t>
            </w:r>
          </w:p>
        </w:tc>
        <w:tc>
          <w:tcPr>
            <w:tcW w:w="2520" w:type="dxa"/>
            <w:tcBorders>
              <w:top w:val="single" w:sz="12" w:space="0" w:color="666666"/>
            </w:tcBorders>
          </w:tcPr>
          <w:p w:rsidR="00401E88" w:rsidRDefault="00E122AA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happened?</w:t>
            </w:r>
          </w:p>
          <w:p w:rsidR="00401E88" w:rsidRDefault="00E122AA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</w:tc>
        <w:tc>
          <w:tcPr>
            <w:tcW w:w="2964" w:type="dxa"/>
            <w:tcBorders>
              <w:top w:val="single" w:sz="12" w:space="0" w:color="666666"/>
            </w:tcBorders>
          </w:tcPr>
          <w:p w:rsidR="00401E88" w:rsidRDefault="00E122AA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happened?</w:t>
            </w:r>
          </w:p>
          <w:p w:rsidR="00401E88" w:rsidRDefault="00E122AA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projects?</w:t>
            </w:r>
          </w:p>
        </w:tc>
      </w:tr>
      <w:tr w:rsidR="00401E88" w:rsidTr="00F16C22">
        <w:trPr>
          <w:trHeight w:val="275"/>
        </w:trPr>
        <w:tc>
          <w:tcPr>
            <w:tcW w:w="2426" w:type="dxa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401E88" w:rsidRDefault="00E122A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Allocation: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964" w:type="dxa"/>
          </w:tcPr>
          <w:p w:rsidR="00401E88" w:rsidRDefault="00E122A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allocation?</w:t>
            </w:r>
          </w:p>
        </w:tc>
      </w:tr>
      <w:tr w:rsidR="00401E88" w:rsidTr="00F16C22">
        <w:trPr>
          <w:trHeight w:val="1638"/>
        </w:trPr>
        <w:tc>
          <w:tcPr>
            <w:tcW w:w="2426" w:type="dxa"/>
          </w:tcPr>
          <w:p w:rsidR="00401E88" w:rsidRDefault="00E122A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Over 90 days from 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expense:</w:t>
            </w:r>
          </w:p>
        </w:tc>
        <w:tc>
          <w:tcPr>
            <w:tcW w:w="2520" w:type="dxa"/>
          </w:tcPr>
          <w:p w:rsidR="00401E88" w:rsidRDefault="00E122A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happened?</w:t>
            </w:r>
          </w:p>
          <w:p w:rsidR="00401E88" w:rsidRDefault="00E122A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  <w:p w:rsidR="00401E88" w:rsidRDefault="00E122A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26"/>
              <w:ind w:hanging="361"/>
              <w:rPr>
                <w:sz w:val="24"/>
              </w:rPr>
            </w:pPr>
            <w:r>
              <w:rPr>
                <w:sz w:val="24"/>
              </w:rPr>
              <w:t>Allocation: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N/A</w:t>
            </w:r>
          </w:p>
          <w:p w:rsidR="00401E88" w:rsidRDefault="00E122A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delay?</w:t>
            </w:r>
          </w:p>
          <w:p w:rsidR="00401E88" w:rsidRDefault="00E122A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26"/>
              <w:ind w:hanging="361"/>
              <w:rPr>
                <w:sz w:val="24"/>
              </w:rPr>
            </w:pPr>
            <w:r>
              <w:rPr>
                <w:sz w:val="24"/>
              </w:rPr>
              <w:t>Preventative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action?</w:t>
            </w:r>
          </w:p>
        </w:tc>
        <w:tc>
          <w:tcPr>
            <w:tcW w:w="2964" w:type="dxa"/>
          </w:tcPr>
          <w:p w:rsidR="00401E88" w:rsidRDefault="00E122AA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happened?</w:t>
            </w:r>
          </w:p>
          <w:p w:rsidR="00401E88" w:rsidRDefault="00E122AA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  <w:p w:rsidR="00401E88" w:rsidRDefault="00E122AA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26"/>
              <w:ind w:hanging="361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allocation?</w:t>
            </w:r>
          </w:p>
          <w:p w:rsidR="00401E88" w:rsidRDefault="00E122AA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delay?</w:t>
            </w:r>
          </w:p>
          <w:p w:rsidR="00401E88" w:rsidRDefault="00E122AA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26"/>
              <w:ind w:hanging="361"/>
              <w:rPr>
                <w:sz w:val="24"/>
              </w:rPr>
            </w:pPr>
            <w:r>
              <w:rPr>
                <w:sz w:val="24"/>
              </w:rPr>
              <w:t>Preventative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action?</w:t>
            </w:r>
          </w:p>
        </w:tc>
      </w:tr>
      <w:tr w:rsidR="00401E88" w:rsidTr="00F16C22">
        <w:trPr>
          <w:trHeight w:val="2428"/>
        </w:trPr>
        <w:tc>
          <w:tcPr>
            <w:tcW w:w="2426" w:type="dxa"/>
          </w:tcPr>
          <w:p w:rsidR="00401E88" w:rsidRDefault="00E122A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salary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has been previously </w:t>
            </w:r>
            <w:r>
              <w:rPr>
                <w:b/>
                <w:spacing w:val="-2"/>
                <w:sz w:val="24"/>
              </w:rPr>
              <w:t>certified:</w:t>
            </w:r>
          </w:p>
        </w:tc>
        <w:tc>
          <w:tcPr>
            <w:tcW w:w="2520" w:type="dxa"/>
          </w:tcPr>
          <w:p w:rsidR="00401E88" w:rsidRDefault="00E122AA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70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happened?</w:t>
            </w:r>
          </w:p>
          <w:p w:rsidR="00401E88" w:rsidRDefault="00E122AA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6"/>
              <w:ind w:hanging="270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  <w:p w:rsidR="00401E88" w:rsidRDefault="00E122AA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9"/>
              <w:ind w:hanging="270"/>
              <w:rPr>
                <w:sz w:val="24"/>
              </w:rPr>
            </w:pPr>
            <w:r>
              <w:rPr>
                <w:sz w:val="24"/>
              </w:rPr>
              <w:t>Allocation: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N/A</w:t>
            </w:r>
          </w:p>
          <w:p w:rsidR="00401E88" w:rsidRDefault="00E122AA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6"/>
              <w:ind w:hanging="270"/>
              <w:rPr>
                <w:sz w:val="24"/>
              </w:rPr>
            </w:pPr>
            <w:r>
              <w:rPr>
                <w:sz w:val="24"/>
              </w:rPr>
              <w:t>Delay: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N/A</w:t>
            </w:r>
          </w:p>
          <w:p w:rsidR="00401E88" w:rsidRDefault="00E122AA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9"/>
              <w:ind w:hanging="270"/>
              <w:rPr>
                <w:sz w:val="24"/>
              </w:rPr>
            </w:pPr>
            <w:r>
              <w:rPr>
                <w:sz w:val="24"/>
              </w:rPr>
              <w:t>Action: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N/A</w:t>
            </w:r>
          </w:p>
          <w:p w:rsidR="00401E88" w:rsidRDefault="00E122AA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7" w:line="264" w:lineRule="auto"/>
              <w:ind w:right="221"/>
              <w:rPr>
                <w:sz w:val="24"/>
              </w:rPr>
            </w:pPr>
            <w:r>
              <w:rPr>
                <w:sz w:val="24"/>
              </w:rPr>
              <w:t>How the incorrect effort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certified?</w:t>
            </w:r>
          </w:p>
        </w:tc>
        <w:tc>
          <w:tcPr>
            <w:tcW w:w="2964" w:type="dxa"/>
          </w:tcPr>
          <w:p w:rsidR="00401E88" w:rsidRDefault="00E122AA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happened?</w:t>
            </w:r>
          </w:p>
          <w:p w:rsidR="00401E88" w:rsidRDefault="00E122AA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6"/>
              <w:ind w:hanging="361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  <w:p w:rsidR="00401E88" w:rsidRDefault="00E122AA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allocation?</w:t>
            </w:r>
          </w:p>
          <w:p w:rsidR="00401E88" w:rsidRDefault="00E122AA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6"/>
              <w:ind w:hanging="361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delay?</w:t>
            </w:r>
          </w:p>
          <w:p w:rsidR="00401E88" w:rsidRDefault="00E122AA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Preventative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action?</w:t>
            </w:r>
          </w:p>
          <w:p w:rsidR="00401E88" w:rsidRDefault="00E122AA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7" w:line="264" w:lineRule="auto"/>
              <w:ind w:right="15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incorrect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effort was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(detailed)?</w:t>
            </w:r>
          </w:p>
        </w:tc>
      </w:tr>
    </w:tbl>
    <w:p w:rsidR="00401E88" w:rsidRDefault="00401E88" w:rsidP="00F16C22">
      <w:pPr>
        <w:pStyle w:val="BodyText"/>
        <w:spacing w:before="8"/>
        <w:rPr>
          <w:sz w:val="28"/>
        </w:rPr>
      </w:pPr>
    </w:p>
    <w:p w:rsidR="00401E88" w:rsidRDefault="00E122AA" w:rsidP="00F16C22">
      <w:pPr>
        <w:pStyle w:val="BodyText"/>
        <w:spacing w:before="90" w:line="264" w:lineRule="auto"/>
        <w:ind w:left="650" w:right="422"/>
      </w:pPr>
      <w:r>
        <w:t>All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moving</w:t>
      </w:r>
      <w:r>
        <w:rPr>
          <w:spacing w:val="-6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 xml:space="preserve">questions answered and additional justification is needed for transfers that are past 90 days or for salary charges that have been previously </w:t>
      </w:r>
      <w:r>
        <w:rPr>
          <w:spacing w:val="-2"/>
        </w:rPr>
        <w:t>certified.</w:t>
      </w:r>
    </w:p>
    <w:p w:rsidR="00401E88" w:rsidRDefault="00E122AA" w:rsidP="00F16C22">
      <w:pPr>
        <w:pStyle w:val="BodyText"/>
        <w:spacing w:before="118" w:line="264" w:lineRule="auto"/>
        <w:ind w:left="650" w:right="456"/>
      </w:pPr>
      <w:r>
        <w:t>Generic statements are not generally acceptable on cost transfers. Any</w:t>
      </w:r>
      <w:r>
        <w:rPr>
          <w:spacing w:val="40"/>
        </w:rPr>
        <w:t xml:space="preserve"> </w:t>
      </w:r>
      <w:r>
        <w:t>justification and documentation should be specific to the cost transfer being submitted.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theoretically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we do not have sufficient detail.</w:t>
      </w:r>
    </w:p>
    <w:p w:rsidR="00401E88" w:rsidRDefault="00E122AA" w:rsidP="00F16C22">
      <w:pPr>
        <w:pStyle w:val="BodyText"/>
        <w:spacing w:before="120"/>
        <w:ind w:left="650"/>
      </w:pPr>
      <w:r>
        <w:t>A</w:t>
      </w:r>
      <w:r>
        <w:rPr>
          <w:spacing w:val="-4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below:</w:t>
      </w:r>
    </w:p>
    <w:p w:rsidR="00401E88" w:rsidRDefault="00E122AA" w:rsidP="00F16C22">
      <w:pPr>
        <w:pStyle w:val="ListParagraph"/>
        <w:numPr>
          <w:ilvl w:val="0"/>
          <w:numId w:val="2"/>
        </w:numPr>
        <w:tabs>
          <w:tab w:val="left" w:pos="2200"/>
        </w:tabs>
        <w:spacing w:before="149"/>
        <w:ind w:left="1370" w:right="574"/>
        <w:rPr>
          <w:sz w:val="24"/>
        </w:rPr>
      </w:pP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expense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originally</w:t>
      </w:r>
      <w:r>
        <w:rPr>
          <w:spacing w:val="-7"/>
          <w:sz w:val="24"/>
        </w:rPr>
        <w:t xml:space="preserve"> </w:t>
      </w:r>
      <w:r>
        <w:rPr>
          <w:sz w:val="24"/>
        </w:rPr>
        <w:t>charged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chart</w:t>
      </w:r>
      <w:r>
        <w:rPr>
          <w:spacing w:val="-2"/>
          <w:sz w:val="24"/>
        </w:rPr>
        <w:t xml:space="preserve"> </w:t>
      </w:r>
      <w:r>
        <w:rPr>
          <w:sz w:val="24"/>
        </w:rPr>
        <w:t>string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it is now being transferred? What was the error?</w:t>
      </w:r>
    </w:p>
    <w:p w:rsidR="00401E88" w:rsidRDefault="00E122AA" w:rsidP="00F16C22">
      <w:pPr>
        <w:spacing w:before="120"/>
        <w:ind w:left="2089"/>
        <w:rPr>
          <w:sz w:val="24"/>
        </w:rPr>
      </w:pPr>
      <w:r>
        <w:rPr>
          <w:b/>
          <w:sz w:val="24"/>
        </w:rPr>
        <w:t>Insufficient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justification: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“There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error.”</w:t>
      </w:r>
    </w:p>
    <w:p w:rsidR="00401E88" w:rsidRDefault="00E122AA" w:rsidP="00F16C22">
      <w:pPr>
        <w:pStyle w:val="BodyText"/>
        <w:spacing w:before="120"/>
        <w:ind w:left="2089" w:right="422"/>
      </w:pPr>
      <w:r>
        <w:rPr>
          <w:b/>
        </w:rPr>
        <w:t xml:space="preserve">Appropriate justification: </w:t>
      </w:r>
      <w:r>
        <w:t>“The award wasn’t extended in Workday</w:t>
      </w:r>
      <w:r>
        <w:rPr>
          <w:spacing w:val="-9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defaulting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 operating budget in error.”</w:t>
      </w:r>
    </w:p>
    <w:p w:rsidR="00401E88" w:rsidRDefault="00E122AA" w:rsidP="00F16C22">
      <w:pPr>
        <w:pStyle w:val="ListParagraph"/>
        <w:numPr>
          <w:ilvl w:val="0"/>
          <w:numId w:val="2"/>
        </w:numPr>
        <w:tabs>
          <w:tab w:val="left" w:pos="2200"/>
        </w:tabs>
        <w:spacing w:before="120"/>
        <w:ind w:left="1369" w:right="793"/>
        <w:rPr>
          <w:sz w:val="24"/>
        </w:rPr>
      </w:pP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transferred/posted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receiving grant? This should be specific language describing how the project benefits from the transfer.</w:t>
      </w:r>
    </w:p>
    <w:p w:rsidR="00401E88" w:rsidRDefault="00E122AA" w:rsidP="00F16C22">
      <w:pPr>
        <w:spacing w:before="120"/>
        <w:ind w:left="2089" w:right="422"/>
        <w:rPr>
          <w:sz w:val="24"/>
        </w:rPr>
      </w:pPr>
      <w:r>
        <w:rPr>
          <w:b/>
          <w:sz w:val="24"/>
        </w:rPr>
        <w:t>Insufficient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justification: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“They/it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charged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project </w:t>
      </w:r>
      <w:r>
        <w:rPr>
          <w:spacing w:val="-2"/>
          <w:sz w:val="24"/>
        </w:rPr>
        <w:t>‘X’.”</w:t>
      </w:r>
    </w:p>
    <w:p w:rsidR="00401E88" w:rsidRPr="00F16C22" w:rsidRDefault="00E122AA" w:rsidP="00F16C22">
      <w:pPr>
        <w:spacing w:before="120"/>
        <w:ind w:left="2089" w:right="550"/>
        <w:rPr>
          <w:sz w:val="24"/>
        </w:rPr>
      </w:pPr>
      <w:r>
        <w:rPr>
          <w:b/>
          <w:sz w:val="24"/>
        </w:rPr>
        <w:t>Appropriate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salary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justification: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“&lt;Insert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6"/>
          <w:sz w:val="24"/>
        </w:rPr>
        <w:t xml:space="preserve"> </w:t>
      </w:r>
      <w:r>
        <w:rPr>
          <w:sz w:val="24"/>
        </w:rPr>
        <w:t>name&gt;</w:t>
      </w:r>
      <w:r>
        <w:rPr>
          <w:spacing w:val="-7"/>
          <w:sz w:val="24"/>
        </w:rPr>
        <w:t xml:space="preserve"> </w:t>
      </w:r>
      <w:r>
        <w:rPr>
          <w:sz w:val="24"/>
        </w:rPr>
        <w:t>is a &lt;insert individual’s role&gt; who is responsible for &lt;insert</w:t>
      </w:r>
      <w:r w:rsidR="00F16C22">
        <w:rPr>
          <w:sz w:val="24"/>
        </w:rPr>
        <w:t xml:space="preserve"> </w:t>
      </w:r>
      <w:r>
        <w:t>individual’s</w:t>
      </w:r>
      <w:r>
        <w:rPr>
          <w:spacing w:val="-6"/>
        </w:rPr>
        <w:t xml:space="preserve"> </w:t>
      </w:r>
      <w:r>
        <w:t>duties&gt;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&lt;insert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number/project</w:t>
      </w:r>
      <w:r>
        <w:rPr>
          <w:spacing w:val="-6"/>
        </w:rPr>
        <w:t xml:space="preserve"> </w:t>
      </w:r>
      <w:r>
        <w:t>name&gt;.</w:t>
      </w:r>
      <w:r>
        <w:rPr>
          <w:spacing w:val="-6"/>
        </w:rPr>
        <w:t xml:space="preserve"> </w:t>
      </w:r>
      <w:r>
        <w:t>This journal will correctly reflect their effort for the &lt;insert period&gt;.</w:t>
      </w:r>
    </w:p>
    <w:p w:rsidR="00401E88" w:rsidRDefault="00E122AA" w:rsidP="00F16C22">
      <w:pPr>
        <w:pStyle w:val="BodyText"/>
        <w:spacing w:before="120"/>
        <w:ind w:left="2090" w:right="422"/>
      </w:pPr>
      <w:r>
        <w:rPr>
          <w:b/>
        </w:rPr>
        <w:t xml:space="preserve">Appropriate non-salary justification: </w:t>
      </w:r>
      <w:r>
        <w:t>“&lt;Insert description of charge(s)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vendor&gt;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&lt;insert</w:t>
      </w:r>
      <w:r>
        <w:rPr>
          <w:spacing w:val="-3"/>
        </w:rPr>
        <w:t xml:space="preserve"> </w:t>
      </w:r>
      <w:r>
        <w:t>grant&gt;. This item was/is used for &lt;insert specific activity&gt; during the</w:t>
      </w:r>
    </w:p>
    <w:p w:rsidR="00401E88" w:rsidRDefault="00E122AA" w:rsidP="00F16C22">
      <w:pPr>
        <w:pStyle w:val="BodyText"/>
        <w:ind w:left="2090"/>
        <w:rPr>
          <w:spacing w:val="-10"/>
        </w:rPr>
      </w:pPr>
      <w:r>
        <w:t>&lt;</w:t>
      </w:r>
      <w:proofErr w:type="gramStart"/>
      <w:r>
        <w:t>insert</w:t>
      </w:r>
      <w:proofErr w:type="gramEnd"/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rPr>
          <w:spacing w:val="-10"/>
        </w:rPr>
        <w:t>&gt;</w:t>
      </w:r>
    </w:p>
    <w:p w:rsidR="0009233A" w:rsidRDefault="0009233A" w:rsidP="00F16C22">
      <w:pPr>
        <w:pStyle w:val="BodyText"/>
        <w:ind w:left="2090"/>
      </w:pPr>
    </w:p>
    <w:p w:rsidR="00401E88" w:rsidRDefault="00E122AA" w:rsidP="00F16C22">
      <w:pPr>
        <w:pStyle w:val="BodyText"/>
        <w:spacing w:before="120"/>
        <w:ind w:left="650" w:right="550"/>
      </w:pPr>
      <w:r>
        <w:t>Note: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fellowships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foundation award designed to support an individual’s research in general the benefit described can be broader and less detailed.</w:t>
      </w:r>
    </w:p>
    <w:p w:rsidR="00401E88" w:rsidRDefault="00E122AA" w:rsidP="00F16C22">
      <w:pPr>
        <w:pStyle w:val="ListParagraph"/>
        <w:numPr>
          <w:ilvl w:val="0"/>
          <w:numId w:val="2"/>
        </w:numPr>
        <w:tabs>
          <w:tab w:val="left" w:pos="2200"/>
        </w:tabs>
        <w:spacing w:before="121"/>
        <w:ind w:left="1370" w:right="64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moved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allocation? How do you know how much to charge each project? For salary </w:t>
      </w:r>
      <w:r>
        <w:rPr>
          <w:sz w:val="24"/>
        </w:rPr>
        <w:lastRenderedPageBreak/>
        <w:t>allocations if an allocation methodology is used (percentage of budgets, etc.) please include that method in the justification.</w:t>
      </w:r>
    </w:p>
    <w:p w:rsidR="00401E88" w:rsidRDefault="00E122AA" w:rsidP="00F16C22">
      <w:pPr>
        <w:spacing w:before="120"/>
        <w:ind w:left="2090"/>
        <w:rPr>
          <w:sz w:val="24"/>
        </w:rPr>
      </w:pPr>
      <w:r>
        <w:rPr>
          <w:b/>
          <w:sz w:val="24"/>
        </w:rPr>
        <w:t>Insufficient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justification: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“This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allocation.”</w:t>
      </w:r>
    </w:p>
    <w:p w:rsidR="00401E88" w:rsidRDefault="00E122AA" w:rsidP="00F16C22">
      <w:pPr>
        <w:spacing w:before="120"/>
        <w:ind w:left="2090" w:right="550"/>
        <w:rPr>
          <w:sz w:val="24"/>
        </w:rPr>
      </w:pPr>
      <w:r>
        <w:rPr>
          <w:b/>
          <w:sz w:val="24"/>
        </w:rPr>
        <w:t xml:space="preserve">Appropriate salary justification: </w:t>
      </w:r>
      <w:r>
        <w:rPr>
          <w:sz w:val="24"/>
        </w:rPr>
        <w:t>“The charges are being allocated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estimate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effort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 principal investigator.”</w:t>
      </w:r>
    </w:p>
    <w:p w:rsidR="00401E88" w:rsidRDefault="00E122AA" w:rsidP="00F16C22">
      <w:pPr>
        <w:spacing w:before="120"/>
        <w:ind w:left="2090" w:right="422"/>
        <w:rPr>
          <w:sz w:val="24"/>
        </w:rPr>
      </w:pPr>
      <w:r>
        <w:rPr>
          <w:b/>
          <w:sz w:val="24"/>
        </w:rPr>
        <w:t xml:space="preserve">Appropriate non-salary justification: </w:t>
      </w:r>
      <w:r>
        <w:rPr>
          <w:sz w:val="24"/>
        </w:rPr>
        <w:t>“The charges are being allocated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estimate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item.”</w:t>
      </w:r>
    </w:p>
    <w:p w:rsidR="00401E88" w:rsidRDefault="00E122AA" w:rsidP="00F16C22">
      <w:pPr>
        <w:pStyle w:val="ListParagraph"/>
        <w:numPr>
          <w:ilvl w:val="0"/>
          <w:numId w:val="2"/>
        </w:numPr>
        <w:tabs>
          <w:tab w:val="left" w:pos="2200"/>
        </w:tabs>
        <w:spacing w:before="120"/>
        <w:ind w:left="1370" w:right="535"/>
        <w:rPr>
          <w:sz w:val="24"/>
        </w:rPr>
      </w:pP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after the date of transaction on a budget vs actual statement or its original </w:t>
      </w:r>
      <w:r>
        <w:rPr>
          <w:spacing w:val="-2"/>
          <w:sz w:val="24"/>
        </w:rPr>
        <w:t>occurrence?</w:t>
      </w:r>
    </w:p>
    <w:p w:rsidR="00401E88" w:rsidRDefault="00E122AA" w:rsidP="00F16C22">
      <w:pPr>
        <w:pStyle w:val="ListParagraph"/>
        <w:numPr>
          <w:ilvl w:val="0"/>
          <w:numId w:val="2"/>
        </w:numPr>
        <w:tabs>
          <w:tab w:val="left" w:pos="2200"/>
        </w:tabs>
        <w:ind w:left="1370" w:right="474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eliminate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transfers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 type? Is this action being taken?</w:t>
      </w:r>
    </w:p>
    <w:p w:rsidR="00401E88" w:rsidRDefault="00E122AA" w:rsidP="00F16C22">
      <w:pPr>
        <w:pStyle w:val="ListParagraph"/>
        <w:numPr>
          <w:ilvl w:val="0"/>
          <w:numId w:val="2"/>
        </w:numPr>
        <w:tabs>
          <w:tab w:val="left" w:pos="2200"/>
        </w:tabs>
        <w:ind w:left="1370" w:right="487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involves</w:t>
      </w:r>
      <w:r>
        <w:rPr>
          <w:spacing w:val="-4"/>
          <w:sz w:val="24"/>
        </w:rPr>
        <w:t xml:space="preserve"> </w:t>
      </w:r>
      <w:r>
        <w:rPr>
          <w:sz w:val="24"/>
        </w:rPr>
        <w:t>salary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previously</w:t>
      </w:r>
      <w:r>
        <w:rPr>
          <w:spacing w:val="-6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we need a detailed explanation explaining why the original charge was </w:t>
      </w:r>
      <w:r>
        <w:rPr>
          <w:spacing w:val="-2"/>
          <w:sz w:val="24"/>
        </w:rPr>
        <w:t>certified.</w:t>
      </w:r>
    </w:p>
    <w:p w:rsidR="00401E88" w:rsidRDefault="00E122AA" w:rsidP="00F16C22">
      <w:pPr>
        <w:pStyle w:val="BodyText"/>
        <w:spacing w:before="120"/>
        <w:ind w:left="650" w:right="550"/>
      </w:pPr>
      <w:r>
        <w:t>Some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transfers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(examples: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 project has ended, large transfers (over $10k), etc.).</w:t>
      </w:r>
    </w:p>
    <w:p w:rsidR="00401E88" w:rsidRDefault="00401E88" w:rsidP="00F16C22">
      <w:pPr>
        <w:pStyle w:val="BodyText"/>
        <w:spacing w:before="2"/>
        <w:rPr>
          <w:sz w:val="28"/>
        </w:rPr>
      </w:pPr>
    </w:p>
    <w:p w:rsidR="00401E88" w:rsidRDefault="00E122AA" w:rsidP="00F16C22">
      <w:pPr>
        <w:pStyle w:val="Heading1"/>
        <w:ind w:left="650"/>
      </w:pPr>
      <w:bookmarkStart w:id="1" w:name="Cost_Transfers_Documentation_Exceptions"/>
      <w:bookmarkEnd w:id="1"/>
      <w:r>
        <w:t>Cost</w:t>
      </w:r>
      <w:r>
        <w:rPr>
          <w:spacing w:val="-15"/>
        </w:rPr>
        <w:t xml:space="preserve"> </w:t>
      </w:r>
      <w:r>
        <w:t>Transfers</w:t>
      </w:r>
      <w:r>
        <w:rPr>
          <w:spacing w:val="-12"/>
        </w:rPr>
        <w:t xml:space="preserve"> </w:t>
      </w:r>
      <w:r>
        <w:t>Documentation</w:t>
      </w:r>
      <w:r>
        <w:rPr>
          <w:spacing w:val="-14"/>
        </w:rPr>
        <w:t xml:space="preserve"> </w:t>
      </w:r>
      <w:r>
        <w:rPr>
          <w:spacing w:val="-2"/>
        </w:rPr>
        <w:t>Exceptions</w:t>
      </w:r>
    </w:p>
    <w:p w:rsidR="00401E88" w:rsidRDefault="00E122AA" w:rsidP="00F16C22">
      <w:pPr>
        <w:pStyle w:val="BodyText"/>
        <w:spacing w:line="264" w:lineRule="auto"/>
        <w:ind w:left="650" w:right="422"/>
      </w:pPr>
      <w:r>
        <w:t>Some</w:t>
      </w:r>
      <w:r>
        <w:rPr>
          <w:spacing w:val="-5"/>
        </w:rPr>
        <w:t xml:space="preserve"> </w:t>
      </w:r>
      <w:r>
        <w:t>transfers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 circumstances of the transfers. Some examples are:</w:t>
      </w:r>
    </w:p>
    <w:p w:rsidR="00401E88" w:rsidRDefault="00E122AA" w:rsidP="00F16C22">
      <w:pPr>
        <w:pStyle w:val="ListParagraph"/>
        <w:numPr>
          <w:ilvl w:val="1"/>
          <w:numId w:val="2"/>
        </w:numPr>
        <w:tabs>
          <w:tab w:val="left" w:pos="2199"/>
          <w:tab w:val="left" w:pos="2200"/>
        </w:tabs>
        <w:spacing w:before="119"/>
        <w:ind w:left="1370" w:hanging="361"/>
        <w:rPr>
          <w:sz w:val="24"/>
        </w:rPr>
      </w:pPr>
      <w:r>
        <w:rPr>
          <w:sz w:val="24"/>
        </w:rPr>
        <w:t>Transfers</w:t>
      </w:r>
      <w:r>
        <w:rPr>
          <w:spacing w:val="-4"/>
          <w:sz w:val="24"/>
        </w:rPr>
        <w:t xml:space="preserve"> </w:t>
      </w:r>
      <w:r>
        <w:rPr>
          <w:sz w:val="24"/>
        </w:rPr>
        <w:t>involving</w:t>
      </w:r>
      <w:r>
        <w:rPr>
          <w:spacing w:val="-2"/>
          <w:sz w:val="24"/>
        </w:rPr>
        <w:t xml:space="preserve"> </w:t>
      </w:r>
      <w:r>
        <w:rPr>
          <w:sz w:val="24"/>
        </w:rPr>
        <w:t>F&amp;A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errors.</w:t>
      </w:r>
    </w:p>
    <w:p w:rsidR="00401E88" w:rsidRDefault="00E122AA" w:rsidP="00F16C22">
      <w:pPr>
        <w:pStyle w:val="ListParagraph"/>
        <w:numPr>
          <w:ilvl w:val="1"/>
          <w:numId w:val="2"/>
        </w:numPr>
        <w:tabs>
          <w:tab w:val="left" w:pos="2199"/>
          <w:tab w:val="left" w:pos="2200"/>
        </w:tabs>
        <w:spacing w:before="28" w:line="261" w:lineRule="auto"/>
        <w:ind w:left="1370" w:right="1170"/>
        <w:rPr>
          <w:sz w:val="24"/>
        </w:rPr>
      </w:pPr>
      <w:r>
        <w:rPr>
          <w:sz w:val="24"/>
        </w:rPr>
        <w:t>Transfers</w:t>
      </w:r>
      <w:r>
        <w:rPr>
          <w:spacing w:val="-5"/>
          <w:sz w:val="24"/>
        </w:rPr>
        <w:t xml:space="preserve"> </w:t>
      </w:r>
      <w:r>
        <w:rPr>
          <w:sz w:val="24"/>
        </w:rPr>
        <w:t>moving</w:t>
      </w:r>
      <w:r>
        <w:rPr>
          <w:spacing w:val="-5"/>
          <w:sz w:val="24"/>
        </w:rPr>
        <w:t xml:space="preserve"> </w:t>
      </w: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off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sponsored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 w:rsidR="00FA6AB9">
        <w:rPr>
          <w:sz w:val="24"/>
        </w:rPr>
        <w:t>non-sponsored account) to resolve</w:t>
      </w:r>
      <w:r>
        <w:rPr>
          <w:sz w:val="24"/>
        </w:rPr>
        <w:t xml:space="preserve"> a deficit.</w:t>
      </w:r>
    </w:p>
    <w:p w:rsidR="00401E88" w:rsidRDefault="00E122AA" w:rsidP="00F16C22">
      <w:pPr>
        <w:pStyle w:val="ListParagraph"/>
        <w:numPr>
          <w:ilvl w:val="1"/>
          <w:numId w:val="2"/>
        </w:numPr>
        <w:tabs>
          <w:tab w:val="left" w:pos="2199"/>
          <w:tab w:val="left" w:pos="2200"/>
        </w:tabs>
        <w:spacing w:before="2" w:line="261" w:lineRule="auto"/>
        <w:ind w:left="1370" w:right="527"/>
        <w:rPr>
          <w:sz w:val="24"/>
        </w:rPr>
      </w:pPr>
      <w:r>
        <w:rPr>
          <w:sz w:val="24"/>
        </w:rPr>
        <w:t>Transfers</w:t>
      </w:r>
      <w:r>
        <w:rPr>
          <w:spacing w:val="-4"/>
          <w:sz w:val="24"/>
        </w:rPr>
        <w:t xml:space="preserve"> </w:t>
      </w:r>
      <w:r>
        <w:rPr>
          <w:sz w:val="24"/>
        </w:rPr>
        <w:t>involving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movement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pennies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 and reporting processes.</w:t>
      </w:r>
    </w:p>
    <w:p w:rsidR="00401E88" w:rsidRDefault="00401E88" w:rsidP="00F16C22">
      <w:pPr>
        <w:pStyle w:val="BodyText"/>
        <w:rPr>
          <w:sz w:val="20"/>
        </w:rPr>
      </w:pPr>
    </w:p>
    <w:p w:rsidR="00401E88" w:rsidRDefault="00E122AA" w:rsidP="00F16C22">
      <w:pPr>
        <w:pStyle w:val="Heading1"/>
        <w:spacing w:before="248"/>
        <w:ind w:left="650"/>
      </w:pPr>
      <w:bookmarkStart w:id="2" w:name="Submitting_Cost_Transfers_in_Workday"/>
      <w:bookmarkEnd w:id="2"/>
      <w:r>
        <w:t>Submitting</w:t>
      </w:r>
      <w:r>
        <w:rPr>
          <w:spacing w:val="-11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Transfers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Workday</w:t>
      </w:r>
    </w:p>
    <w:p w:rsidR="00401E88" w:rsidRDefault="00E122AA" w:rsidP="00F16C22">
      <w:pPr>
        <w:pStyle w:val="BodyText"/>
        <w:spacing w:line="264" w:lineRule="auto"/>
        <w:ind w:left="650" w:right="422"/>
      </w:pPr>
      <w:r>
        <w:t>Submitting</w:t>
      </w:r>
      <w:r>
        <w:rPr>
          <w:spacing w:val="-6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transfers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Workday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payroll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adjustment or a journal entry.</w:t>
      </w:r>
    </w:p>
    <w:p w:rsidR="00401E88" w:rsidRDefault="00E122AA" w:rsidP="00F16C22">
      <w:pPr>
        <w:pStyle w:val="ListParagraph"/>
        <w:numPr>
          <w:ilvl w:val="1"/>
          <w:numId w:val="2"/>
        </w:numPr>
        <w:tabs>
          <w:tab w:val="left" w:pos="2199"/>
          <w:tab w:val="left" w:pos="2200"/>
        </w:tabs>
        <w:spacing w:before="120" w:line="261" w:lineRule="auto"/>
        <w:ind w:left="1370" w:right="878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Payroll</w:t>
      </w:r>
      <w:r>
        <w:rPr>
          <w:spacing w:val="-4"/>
          <w:sz w:val="24"/>
        </w:rPr>
        <w:t xml:space="preserve"> </w:t>
      </w:r>
      <w:r>
        <w:rPr>
          <w:sz w:val="24"/>
        </w:rPr>
        <w:t>Accounting</w:t>
      </w:r>
      <w:r>
        <w:rPr>
          <w:spacing w:val="-6"/>
          <w:sz w:val="24"/>
        </w:rPr>
        <w:t xml:space="preserve"> </w:t>
      </w:r>
      <w:r>
        <w:rPr>
          <w:sz w:val="24"/>
        </w:rPr>
        <w:t>Adjustment</w:t>
      </w:r>
      <w:r>
        <w:rPr>
          <w:spacing w:val="-4"/>
          <w:sz w:val="24"/>
        </w:rPr>
        <w:t xml:space="preserve"> </w:t>
      </w:r>
      <w:r>
        <w:rPr>
          <w:sz w:val="24"/>
        </w:rPr>
        <w:t>(PAA)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mechanism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adjust</w:t>
      </w:r>
      <w:r>
        <w:rPr>
          <w:spacing w:val="-4"/>
          <w:sz w:val="24"/>
        </w:rPr>
        <w:t xml:space="preserve"> </w:t>
      </w:r>
      <w:r>
        <w:rPr>
          <w:sz w:val="24"/>
        </w:rPr>
        <w:t>the worktags assigned to an employee’s payroll cost allocation after the payroll has posted (retroactive).</w:t>
      </w:r>
    </w:p>
    <w:p w:rsidR="00401E88" w:rsidRDefault="00E122AA" w:rsidP="00F16C22">
      <w:pPr>
        <w:pStyle w:val="ListParagraph"/>
        <w:numPr>
          <w:ilvl w:val="1"/>
          <w:numId w:val="2"/>
        </w:numPr>
        <w:tabs>
          <w:tab w:val="left" w:pos="2199"/>
          <w:tab w:val="left" w:pos="2200"/>
        </w:tabs>
        <w:spacing w:before="6" w:line="261" w:lineRule="auto"/>
        <w:ind w:left="1369" w:right="529"/>
        <w:rPr>
          <w:sz w:val="24"/>
        </w:rPr>
      </w:pPr>
      <w:r>
        <w:rPr>
          <w:sz w:val="24"/>
        </w:rPr>
        <w:t>A</w:t>
      </w:r>
      <w:r w:rsidR="006C3378">
        <w:rPr>
          <w:sz w:val="24"/>
        </w:rPr>
        <w:t>n</w:t>
      </w:r>
      <w:r>
        <w:rPr>
          <w:spacing w:val="-4"/>
          <w:sz w:val="24"/>
        </w:rPr>
        <w:t xml:space="preserve"> </w:t>
      </w:r>
      <w:r w:rsidR="006C3378">
        <w:rPr>
          <w:spacing w:val="-4"/>
          <w:sz w:val="24"/>
        </w:rPr>
        <w:t xml:space="preserve">Accounting Adjustment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mechanism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adjust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accounting</w:t>
      </w:r>
      <w:r>
        <w:rPr>
          <w:spacing w:val="-6"/>
          <w:sz w:val="24"/>
        </w:rPr>
        <w:t xml:space="preserve"> </w:t>
      </w:r>
      <w:r>
        <w:rPr>
          <w:sz w:val="24"/>
        </w:rPr>
        <w:t>on a financial transaction. The total dollar amount of debits for the journal must equal the total dollar amount of credits.</w:t>
      </w:r>
    </w:p>
    <w:p w:rsidR="00401E88" w:rsidRDefault="00E122AA" w:rsidP="00F16C22">
      <w:pPr>
        <w:pStyle w:val="BodyText"/>
        <w:spacing w:before="125" w:line="264" w:lineRule="auto"/>
        <w:ind w:left="649" w:right="422"/>
      </w:pPr>
      <w:r>
        <w:t>If you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 w:rsidR="006C3378">
        <w:rPr>
          <w:spacing w:val="-4"/>
        </w:rPr>
        <w:t xml:space="preserve">an </w:t>
      </w:r>
      <w:r w:rsidR="006C3378">
        <w:t>Accounting Adjustment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Workday</w:t>
      </w:r>
      <w:r>
        <w:rPr>
          <w:spacing w:val="-8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sponsored project you can contact SPA for assistance.</w:t>
      </w:r>
    </w:p>
    <w:p w:rsidR="00401E88" w:rsidRDefault="00E122AA" w:rsidP="00F16C22">
      <w:pPr>
        <w:pStyle w:val="BodyText"/>
        <w:spacing w:before="120"/>
        <w:ind w:left="649"/>
      </w:pP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transfers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workday:</w:t>
      </w:r>
    </w:p>
    <w:p w:rsidR="00401E88" w:rsidRDefault="00E122AA" w:rsidP="00F16C22">
      <w:pPr>
        <w:pStyle w:val="ListParagraph"/>
        <w:numPr>
          <w:ilvl w:val="2"/>
          <w:numId w:val="11"/>
        </w:numPr>
        <w:tabs>
          <w:tab w:val="left" w:pos="2199"/>
          <w:tab w:val="left" w:pos="2200"/>
        </w:tabs>
        <w:spacing w:before="149" w:line="261" w:lineRule="auto"/>
        <w:ind w:left="1330" w:right="593"/>
        <w:rPr>
          <w:sz w:val="24"/>
        </w:rPr>
      </w:pP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to ensure the transaction is clas</w:t>
      </w:r>
      <w:r w:rsidR="006C3378">
        <w:rPr>
          <w:sz w:val="24"/>
        </w:rPr>
        <w:t>sified as over or under 90 days.</w:t>
      </w:r>
    </w:p>
    <w:p w:rsidR="00FA6AB9" w:rsidRPr="006C3378" w:rsidRDefault="00FA6AB9" w:rsidP="00F16C22">
      <w:pPr>
        <w:pStyle w:val="ListParagraph"/>
        <w:numPr>
          <w:ilvl w:val="2"/>
          <w:numId w:val="11"/>
        </w:numPr>
        <w:tabs>
          <w:tab w:val="left" w:pos="2199"/>
          <w:tab w:val="left" w:pos="2200"/>
        </w:tabs>
        <w:spacing w:before="2" w:line="264" w:lineRule="auto"/>
        <w:ind w:left="1330" w:right="474"/>
        <w:rPr>
          <w:b/>
          <w:sz w:val="24"/>
        </w:rPr>
      </w:pPr>
      <w:r w:rsidRPr="006C3378">
        <w:rPr>
          <w:b/>
          <w:sz w:val="24"/>
        </w:rPr>
        <w:t>Supporting justification for under 90 days transfers</w:t>
      </w:r>
      <w:r w:rsidR="00D3587F" w:rsidRPr="006C3378">
        <w:rPr>
          <w:b/>
          <w:sz w:val="24"/>
        </w:rPr>
        <w:t>:</w:t>
      </w:r>
    </w:p>
    <w:p w:rsidR="00FA6AB9" w:rsidRDefault="00E122AA" w:rsidP="00F16C22">
      <w:pPr>
        <w:pStyle w:val="ListParagraph"/>
        <w:numPr>
          <w:ilvl w:val="3"/>
          <w:numId w:val="11"/>
        </w:numPr>
        <w:tabs>
          <w:tab w:val="left" w:pos="2199"/>
          <w:tab w:val="left" w:pos="2200"/>
        </w:tabs>
        <w:spacing w:before="2" w:line="264" w:lineRule="auto"/>
        <w:ind w:left="2050" w:right="474"/>
        <w:rPr>
          <w:sz w:val="24"/>
        </w:rPr>
      </w:pPr>
      <w:r>
        <w:rPr>
          <w:sz w:val="24"/>
        </w:rPr>
        <w:t>For cost transfer</w:t>
      </w:r>
      <w:r w:rsidR="00D3587F">
        <w:rPr>
          <w:sz w:val="24"/>
        </w:rPr>
        <w:t>s</w:t>
      </w:r>
      <w:r>
        <w:rPr>
          <w:sz w:val="24"/>
        </w:rPr>
        <w:t xml:space="preserve"> related to activit</w:t>
      </w:r>
      <w:r w:rsidR="00D3587F">
        <w:rPr>
          <w:sz w:val="24"/>
        </w:rPr>
        <w:t>ies</w:t>
      </w:r>
      <w:r>
        <w:rPr>
          <w:sz w:val="24"/>
        </w:rPr>
        <w:t xml:space="preserve"> prior to 90 days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3"/>
          <w:sz w:val="24"/>
        </w:rPr>
        <w:t xml:space="preserve"> </w:t>
      </w:r>
      <w:r>
        <w:rPr>
          <w:sz w:val="24"/>
        </w:rPr>
        <w:t>added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Workday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comments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7"/>
          <w:sz w:val="24"/>
        </w:rPr>
        <w:t xml:space="preserve"> </w:t>
      </w:r>
      <w:r w:rsidR="00D3587F">
        <w:rPr>
          <w:sz w:val="24"/>
        </w:rPr>
        <w:t>and</w:t>
      </w:r>
      <w:r>
        <w:rPr>
          <w:sz w:val="24"/>
        </w:rPr>
        <w:t xml:space="preserve"> </w:t>
      </w:r>
      <w:r w:rsidR="00D3587F">
        <w:rPr>
          <w:sz w:val="24"/>
        </w:rPr>
        <w:t xml:space="preserve">any </w:t>
      </w:r>
      <w:r>
        <w:rPr>
          <w:sz w:val="24"/>
        </w:rPr>
        <w:t xml:space="preserve">supporting documents </w:t>
      </w:r>
      <w:r w:rsidR="00D3587F">
        <w:rPr>
          <w:sz w:val="24"/>
        </w:rPr>
        <w:t>must</w:t>
      </w:r>
      <w:r>
        <w:rPr>
          <w:sz w:val="24"/>
        </w:rPr>
        <w:t xml:space="preserve"> be attached to the request in Workday.</w:t>
      </w:r>
      <w:r w:rsidR="00FA6AB9">
        <w:rPr>
          <w:sz w:val="24"/>
        </w:rPr>
        <w:t xml:space="preserve"> The comments fi</w:t>
      </w:r>
      <w:r w:rsidR="00D3587F">
        <w:rPr>
          <w:sz w:val="24"/>
        </w:rPr>
        <w:t>eld</w:t>
      </w:r>
      <w:r w:rsidR="00FA6AB9">
        <w:rPr>
          <w:sz w:val="24"/>
        </w:rPr>
        <w:t xml:space="preserve"> </w:t>
      </w:r>
      <w:r w:rsidR="00D3587F">
        <w:rPr>
          <w:sz w:val="24"/>
        </w:rPr>
        <w:t xml:space="preserve">must </w:t>
      </w:r>
      <w:r w:rsidR="00FA6AB9">
        <w:rPr>
          <w:sz w:val="24"/>
        </w:rPr>
        <w:t xml:space="preserve">clearly include the following two </w:t>
      </w:r>
      <w:r w:rsidR="00FA6AB9">
        <w:rPr>
          <w:sz w:val="24"/>
        </w:rPr>
        <w:lastRenderedPageBreak/>
        <w:t xml:space="preserve">questions and </w:t>
      </w:r>
      <w:r w:rsidR="00D3587F">
        <w:rPr>
          <w:sz w:val="24"/>
        </w:rPr>
        <w:t xml:space="preserve">the </w:t>
      </w:r>
      <w:r w:rsidR="00FA6AB9">
        <w:rPr>
          <w:sz w:val="24"/>
        </w:rPr>
        <w:t>answers:</w:t>
      </w:r>
    </w:p>
    <w:p w:rsidR="00D3587F" w:rsidRDefault="00FA6AB9" w:rsidP="00F16C22">
      <w:pPr>
        <w:pStyle w:val="ListParagraph"/>
        <w:numPr>
          <w:ilvl w:val="4"/>
          <w:numId w:val="11"/>
        </w:numPr>
        <w:tabs>
          <w:tab w:val="left" w:pos="2199"/>
          <w:tab w:val="left" w:pos="2200"/>
        </w:tabs>
        <w:spacing w:before="2" w:line="264" w:lineRule="auto"/>
        <w:ind w:left="2770" w:right="474"/>
        <w:rPr>
          <w:sz w:val="24"/>
        </w:rPr>
      </w:pPr>
      <w:r w:rsidRPr="00FA6AB9">
        <w:rPr>
          <w:sz w:val="24"/>
        </w:rPr>
        <w:t xml:space="preserve">Why </w:t>
      </w:r>
      <w:proofErr w:type="gramStart"/>
      <w:r w:rsidRPr="00FA6AB9">
        <w:rPr>
          <w:sz w:val="24"/>
        </w:rPr>
        <w:t>was this expense</w:t>
      </w:r>
      <w:proofErr w:type="gramEnd"/>
      <w:r w:rsidRPr="00FA6AB9">
        <w:rPr>
          <w:sz w:val="24"/>
        </w:rPr>
        <w:t xml:space="preserve"> originally charged to the chart string from which it is now being transferred? Or, why was this</w:t>
      </w:r>
      <w:r>
        <w:rPr>
          <w:sz w:val="24"/>
        </w:rPr>
        <w:t xml:space="preserve"> </w:t>
      </w:r>
      <w:r w:rsidRPr="00FA6AB9">
        <w:rPr>
          <w:sz w:val="24"/>
        </w:rPr>
        <w:t>expense incurred (if not yet posted)?</w:t>
      </w:r>
    </w:p>
    <w:p w:rsidR="00D3587F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  <w:r>
        <w:rPr>
          <w:sz w:val="24"/>
        </w:rPr>
        <w:t>Answer:</w:t>
      </w:r>
    </w:p>
    <w:p w:rsidR="00D3587F" w:rsidRDefault="00FA6AB9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  <w:r w:rsidRPr="00D3587F">
        <w:rPr>
          <w:sz w:val="24"/>
        </w:rPr>
        <w:t> </w:t>
      </w:r>
    </w:p>
    <w:p w:rsidR="00FA6AB9" w:rsidRPr="00D3587F" w:rsidRDefault="00FA6AB9" w:rsidP="00F16C22">
      <w:pPr>
        <w:pStyle w:val="ListParagraph"/>
        <w:numPr>
          <w:ilvl w:val="4"/>
          <w:numId w:val="11"/>
        </w:numPr>
        <w:tabs>
          <w:tab w:val="left" w:pos="2199"/>
          <w:tab w:val="left" w:pos="2200"/>
        </w:tabs>
        <w:spacing w:before="2" w:line="264" w:lineRule="auto"/>
        <w:ind w:left="2770" w:right="474"/>
        <w:rPr>
          <w:sz w:val="24"/>
        </w:rPr>
      </w:pPr>
      <w:r w:rsidRPr="00D3587F">
        <w:rPr>
          <w:sz w:val="24"/>
        </w:rPr>
        <w:t>Why should this charge be transferred/posted to the proposed receiving chart string? (For transfers, a correlation must be drawn between the initial charge and the chart string to which it is being transferred.)</w:t>
      </w:r>
    </w:p>
    <w:p w:rsidR="00FA6AB9" w:rsidRPr="00FA6AB9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  <w:r>
        <w:rPr>
          <w:sz w:val="24"/>
        </w:rPr>
        <w:t>Answer:</w:t>
      </w:r>
    </w:p>
    <w:p w:rsidR="00FA6AB9" w:rsidRDefault="00FA6AB9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898" w:right="474" w:firstLine="0"/>
        <w:rPr>
          <w:sz w:val="24"/>
        </w:rPr>
      </w:pPr>
    </w:p>
    <w:p w:rsidR="006C3378" w:rsidRPr="006C3378" w:rsidRDefault="006C3378" w:rsidP="006C3378">
      <w:pPr>
        <w:pStyle w:val="ListParagraph"/>
        <w:numPr>
          <w:ilvl w:val="2"/>
          <w:numId w:val="11"/>
        </w:numPr>
        <w:tabs>
          <w:tab w:val="left" w:pos="2199"/>
          <w:tab w:val="left" w:pos="2200"/>
        </w:tabs>
        <w:spacing w:before="2" w:line="264" w:lineRule="auto"/>
        <w:ind w:left="1330" w:right="474"/>
        <w:rPr>
          <w:b/>
          <w:sz w:val="24"/>
        </w:rPr>
      </w:pPr>
      <w:r w:rsidRPr="006C3378">
        <w:rPr>
          <w:b/>
          <w:sz w:val="24"/>
        </w:rPr>
        <w:t xml:space="preserve">Supporting justification for </w:t>
      </w:r>
      <w:r>
        <w:rPr>
          <w:b/>
          <w:sz w:val="24"/>
        </w:rPr>
        <w:t>over</w:t>
      </w:r>
      <w:r w:rsidRPr="006C3378">
        <w:rPr>
          <w:b/>
          <w:sz w:val="24"/>
        </w:rPr>
        <w:t xml:space="preserve"> 90 days transfers:</w:t>
      </w:r>
    </w:p>
    <w:p w:rsidR="00D3587F" w:rsidRDefault="00E122AA" w:rsidP="006C3378">
      <w:pPr>
        <w:pStyle w:val="ListParagraph"/>
        <w:numPr>
          <w:ilvl w:val="2"/>
          <w:numId w:val="11"/>
        </w:numPr>
        <w:tabs>
          <w:tab w:val="left" w:pos="2199"/>
          <w:tab w:val="left" w:pos="2200"/>
        </w:tabs>
        <w:spacing w:before="2" w:line="264" w:lineRule="auto"/>
        <w:ind w:right="474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transfers</w:t>
      </w:r>
      <w:r>
        <w:rPr>
          <w:spacing w:val="-4"/>
          <w:sz w:val="24"/>
        </w:rPr>
        <w:t xml:space="preserve"> </w:t>
      </w:r>
      <w:r w:rsidR="00D3587F">
        <w:rPr>
          <w:sz w:val="24"/>
        </w:rPr>
        <w:t>related to activities over 90 days</w:t>
      </w:r>
      <w:r w:rsidR="00D3587F">
        <w:rPr>
          <w:spacing w:val="-3"/>
          <w:sz w:val="24"/>
        </w:rPr>
        <w:t xml:space="preserve"> </w:t>
      </w:r>
      <w:r w:rsidR="00D3587F">
        <w:rPr>
          <w:sz w:val="24"/>
        </w:rPr>
        <w:t>the</w:t>
      </w:r>
      <w:r w:rsidR="00D3587F">
        <w:rPr>
          <w:spacing w:val="-5"/>
          <w:sz w:val="24"/>
        </w:rPr>
        <w:t xml:space="preserve"> </w:t>
      </w:r>
      <w:r w:rsidR="00D3587F">
        <w:rPr>
          <w:sz w:val="24"/>
        </w:rPr>
        <w:t>supporting</w:t>
      </w:r>
      <w:r w:rsidR="00D3587F">
        <w:rPr>
          <w:spacing w:val="-7"/>
          <w:sz w:val="24"/>
        </w:rPr>
        <w:t xml:space="preserve"> </w:t>
      </w:r>
      <w:proofErr w:type="gramStart"/>
      <w:r w:rsidR="00D3587F">
        <w:rPr>
          <w:sz w:val="24"/>
        </w:rPr>
        <w:t>inform</w:t>
      </w:r>
      <w:bookmarkStart w:id="3" w:name="_GoBack"/>
      <w:bookmarkEnd w:id="3"/>
      <w:r w:rsidR="00D3587F">
        <w:rPr>
          <w:sz w:val="24"/>
        </w:rPr>
        <w:t>ation</w:t>
      </w:r>
      <w:proofErr w:type="gramEnd"/>
      <w:r w:rsidR="00D3587F">
        <w:rPr>
          <w:spacing w:val="-4"/>
          <w:sz w:val="24"/>
        </w:rPr>
        <w:t xml:space="preserve"> </w:t>
      </w:r>
      <w:r w:rsidR="00D3587F">
        <w:rPr>
          <w:sz w:val="24"/>
        </w:rPr>
        <w:t>can be</w:t>
      </w:r>
      <w:r w:rsidR="00D3587F">
        <w:rPr>
          <w:spacing w:val="-3"/>
          <w:sz w:val="24"/>
        </w:rPr>
        <w:t xml:space="preserve"> </w:t>
      </w:r>
      <w:r w:rsidR="00D3587F">
        <w:rPr>
          <w:sz w:val="24"/>
        </w:rPr>
        <w:t>added</w:t>
      </w:r>
      <w:r w:rsidR="00D3587F">
        <w:rPr>
          <w:spacing w:val="-2"/>
          <w:sz w:val="24"/>
        </w:rPr>
        <w:t xml:space="preserve"> </w:t>
      </w:r>
      <w:r w:rsidR="00D3587F">
        <w:rPr>
          <w:sz w:val="24"/>
        </w:rPr>
        <w:t>directly</w:t>
      </w:r>
      <w:r w:rsidR="00D3587F">
        <w:rPr>
          <w:spacing w:val="-7"/>
          <w:sz w:val="24"/>
        </w:rPr>
        <w:t xml:space="preserve"> </w:t>
      </w:r>
      <w:r w:rsidR="00D3587F">
        <w:rPr>
          <w:sz w:val="24"/>
        </w:rPr>
        <w:t>in</w:t>
      </w:r>
      <w:r w:rsidR="00D3587F">
        <w:rPr>
          <w:spacing w:val="-2"/>
          <w:sz w:val="24"/>
        </w:rPr>
        <w:t xml:space="preserve"> </w:t>
      </w:r>
      <w:r w:rsidR="00D3587F">
        <w:rPr>
          <w:sz w:val="24"/>
        </w:rPr>
        <w:t>Workday</w:t>
      </w:r>
      <w:r w:rsidR="00D3587F">
        <w:rPr>
          <w:spacing w:val="-7"/>
          <w:sz w:val="24"/>
        </w:rPr>
        <w:t xml:space="preserve"> </w:t>
      </w:r>
      <w:r w:rsidR="00D3587F">
        <w:rPr>
          <w:sz w:val="24"/>
        </w:rPr>
        <w:t>in</w:t>
      </w:r>
      <w:r w:rsidR="00D3587F">
        <w:rPr>
          <w:spacing w:val="-2"/>
          <w:sz w:val="24"/>
        </w:rPr>
        <w:t xml:space="preserve"> </w:t>
      </w:r>
      <w:r w:rsidR="00D3587F">
        <w:rPr>
          <w:sz w:val="24"/>
        </w:rPr>
        <w:t>the</w:t>
      </w:r>
      <w:r w:rsidR="00D3587F">
        <w:rPr>
          <w:spacing w:val="-1"/>
          <w:sz w:val="24"/>
        </w:rPr>
        <w:t xml:space="preserve"> </w:t>
      </w:r>
      <w:r w:rsidR="00D3587F">
        <w:rPr>
          <w:sz w:val="24"/>
        </w:rPr>
        <w:t>comments</w:t>
      </w:r>
      <w:r w:rsidR="00D3587F">
        <w:rPr>
          <w:spacing w:val="-2"/>
          <w:sz w:val="24"/>
        </w:rPr>
        <w:t xml:space="preserve"> </w:t>
      </w:r>
      <w:r w:rsidR="00D3587F">
        <w:rPr>
          <w:sz w:val="24"/>
        </w:rPr>
        <w:t>field</w:t>
      </w:r>
      <w:r w:rsidR="00D3587F">
        <w:rPr>
          <w:spacing w:val="-2"/>
          <w:sz w:val="24"/>
        </w:rPr>
        <w:t xml:space="preserve"> </w:t>
      </w:r>
      <w:r w:rsidR="00D3587F">
        <w:rPr>
          <w:sz w:val="24"/>
        </w:rPr>
        <w:t>of</w:t>
      </w:r>
      <w:r w:rsidR="00D3587F">
        <w:rPr>
          <w:spacing w:val="-3"/>
          <w:sz w:val="24"/>
        </w:rPr>
        <w:t xml:space="preserve"> </w:t>
      </w:r>
      <w:r w:rsidR="00D3587F">
        <w:rPr>
          <w:sz w:val="24"/>
        </w:rPr>
        <w:t>the</w:t>
      </w:r>
      <w:r w:rsidR="00D3587F">
        <w:rPr>
          <w:spacing w:val="-3"/>
          <w:sz w:val="24"/>
        </w:rPr>
        <w:t xml:space="preserve"> </w:t>
      </w:r>
      <w:r w:rsidR="00D3587F">
        <w:rPr>
          <w:sz w:val="24"/>
        </w:rPr>
        <w:t>journal</w:t>
      </w:r>
      <w:r w:rsidR="00D3587F">
        <w:rPr>
          <w:spacing w:val="-2"/>
          <w:sz w:val="24"/>
        </w:rPr>
        <w:t xml:space="preserve"> </w:t>
      </w:r>
      <w:r w:rsidR="00D3587F">
        <w:rPr>
          <w:sz w:val="24"/>
        </w:rPr>
        <w:t>entry</w:t>
      </w:r>
      <w:r w:rsidR="00D3587F">
        <w:rPr>
          <w:spacing w:val="-7"/>
          <w:sz w:val="24"/>
        </w:rPr>
        <w:t xml:space="preserve"> </w:t>
      </w:r>
      <w:r w:rsidR="00D3587F">
        <w:rPr>
          <w:sz w:val="24"/>
        </w:rPr>
        <w:t>and any supporting documents must be attached to the request in Workday. The comments filed should clearly include the following four questions and the answers:</w:t>
      </w:r>
    </w:p>
    <w:p w:rsidR="00D3587F" w:rsidRDefault="00D3587F" w:rsidP="00F16C22">
      <w:pPr>
        <w:pStyle w:val="ListParagraph"/>
        <w:numPr>
          <w:ilvl w:val="4"/>
          <w:numId w:val="11"/>
        </w:numPr>
        <w:tabs>
          <w:tab w:val="left" w:pos="2199"/>
          <w:tab w:val="left" w:pos="2200"/>
        </w:tabs>
        <w:spacing w:before="2" w:line="264" w:lineRule="auto"/>
        <w:ind w:left="2770" w:right="474"/>
        <w:rPr>
          <w:sz w:val="24"/>
        </w:rPr>
      </w:pPr>
      <w:r w:rsidRPr="00FA6AB9">
        <w:rPr>
          <w:sz w:val="24"/>
        </w:rPr>
        <w:t xml:space="preserve">Why </w:t>
      </w:r>
      <w:proofErr w:type="gramStart"/>
      <w:r w:rsidRPr="00FA6AB9">
        <w:rPr>
          <w:sz w:val="24"/>
        </w:rPr>
        <w:t>was this expense</w:t>
      </w:r>
      <w:proofErr w:type="gramEnd"/>
      <w:r w:rsidRPr="00FA6AB9">
        <w:rPr>
          <w:sz w:val="24"/>
        </w:rPr>
        <w:t xml:space="preserve"> originally charged to the chart string from which it is now being transferred? Or, why was this</w:t>
      </w:r>
      <w:r>
        <w:rPr>
          <w:sz w:val="24"/>
        </w:rPr>
        <w:t xml:space="preserve"> </w:t>
      </w:r>
      <w:r w:rsidRPr="00FA6AB9">
        <w:rPr>
          <w:sz w:val="24"/>
        </w:rPr>
        <w:t>expense incurred (if not yet posted)?</w:t>
      </w:r>
    </w:p>
    <w:p w:rsidR="00D3587F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  <w:r>
        <w:rPr>
          <w:sz w:val="24"/>
        </w:rPr>
        <w:t>Answer:</w:t>
      </w:r>
    </w:p>
    <w:p w:rsidR="00D3587F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  <w:r w:rsidRPr="00D3587F">
        <w:rPr>
          <w:sz w:val="24"/>
        </w:rPr>
        <w:t> </w:t>
      </w:r>
    </w:p>
    <w:p w:rsidR="00D3587F" w:rsidRDefault="00D3587F" w:rsidP="00F16C22">
      <w:pPr>
        <w:pStyle w:val="ListParagraph"/>
        <w:numPr>
          <w:ilvl w:val="4"/>
          <w:numId w:val="11"/>
        </w:numPr>
        <w:tabs>
          <w:tab w:val="left" w:pos="2199"/>
          <w:tab w:val="left" w:pos="2200"/>
        </w:tabs>
        <w:spacing w:before="2" w:line="264" w:lineRule="auto"/>
        <w:ind w:left="2770" w:right="474"/>
        <w:rPr>
          <w:sz w:val="24"/>
        </w:rPr>
      </w:pPr>
      <w:r w:rsidRPr="00D3587F">
        <w:rPr>
          <w:sz w:val="24"/>
        </w:rPr>
        <w:t>Why should this charge be transferred/posted to the proposed receiving chart string? (For transfers, a correlation must be drawn between the initial charge and the chart string to which it is being transferred.)</w:t>
      </w:r>
    </w:p>
    <w:p w:rsidR="00D3587F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  <w:r w:rsidRPr="00D3587F">
        <w:rPr>
          <w:sz w:val="24"/>
        </w:rPr>
        <w:t>Answer:</w:t>
      </w:r>
    </w:p>
    <w:p w:rsidR="00D3587F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</w:p>
    <w:p w:rsidR="00D3587F" w:rsidRPr="00D3587F" w:rsidRDefault="00D3587F" w:rsidP="00F16C22">
      <w:pPr>
        <w:pStyle w:val="ListParagraph"/>
        <w:numPr>
          <w:ilvl w:val="4"/>
          <w:numId w:val="11"/>
        </w:numPr>
        <w:tabs>
          <w:tab w:val="left" w:pos="2199"/>
          <w:tab w:val="left" w:pos="2200"/>
        </w:tabs>
        <w:spacing w:before="2" w:line="264" w:lineRule="auto"/>
        <w:ind w:left="2770" w:right="474"/>
        <w:rPr>
          <w:sz w:val="24"/>
        </w:rPr>
      </w:pPr>
      <w:r w:rsidRPr="00D3587F">
        <w:rPr>
          <w:sz w:val="24"/>
        </w:rPr>
        <w:t>Why is this cost transfer/posting being requested more than 90 calendar days after the date of transaction on a</w:t>
      </w:r>
      <w:r>
        <w:rPr>
          <w:sz w:val="24"/>
        </w:rPr>
        <w:t xml:space="preserve"> </w:t>
      </w:r>
      <w:r w:rsidRPr="00D3587F">
        <w:rPr>
          <w:sz w:val="24"/>
        </w:rPr>
        <w:t>budget statement/original occurrence?</w:t>
      </w:r>
    </w:p>
    <w:p w:rsidR="00D3587F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  <w:r w:rsidRPr="00D3587F">
        <w:rPr>
          <w:sz w:val="24"/>
        </w:rPr>
        <w:t>Answer</w:t>
      </w:r>
      <w:r>
        <w:rPr>
          <w:sz w:val="24"/>
        </w:rPr>
        <w:t>:</w:t>
      </w:r>
    </w:p>
    <w:p w:rsidR="00D3587F" w:rsidRPr="00D3587F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</w:p>
    <w:p w:rsidR="00D3587F" w:rsidRPr="00D3587F" w:rsidRDefault="00D3587F" w:rsidP="00F16C22">
      <w:pPr>
        <w:pStyle w:val="ListParagraph"/>
        <w:numPr>
          <w:ilvl w:val="4"/>
          <w:numId w:val="11"/>
        </w:numPr>
        <w:tabs>
          <w:tab w:val="left" w:pos="2199"/>
          <w:tab w:val="left" w:pos="2200"/>
        </w:tabs>
        <w:spacing w:before="2" w:line="264" w:lineRule="auto"/>
        <w:ind w:left="2770" w:right="474"/>
        <w:rPr>
          <w:sz w:val="24"/>
        </w:rPr>
      </w:pPr>
      <w:r w:rsidRPr="00D3587F">
        <w:rPr>
          <w:sz w:val="24"/>
        </w:rPr>
        <w:t>What action is needed to eliminate the future need for cost transfers/postings of this type? Is this action being</w:t>
      </w:r>
      <w:r>
        <w:rPr>
          <w:sz w:val="24"/>
        </w:rPr>
        <w:t xml:space="preserve"> </w:t>
      </w:r>
      <w:r w:rsidRPr="00D3587F">
        <w:rPr>
          <w:sz w:val="24"/>
        </w:rPr>
        <w:t>taken?</w:t>
      </w:r>
    </w:p>
    <w:p w:rsidR="00D3587F" w:rsidRPr="00D3587F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  <w:r w:rsidRPr="00D3587F">
        <w:rPr>
          <w:sz w:val="24"/>
        </w:rPr>
        <w:t>Answer</w:t>
      </w:r>
      <w:r>
        <w:rPr>
          <w:sz w:val="24"/>
        </w:rPr>
        <w:t>:</w:t>
      </w:r>
    </w:p>
    <w:p w:rsidR="00D3587F" w:rsidRPr="00FA6AB9" w:rsidRDefault="00D3587F" w:rsidP="00F16C22">
      <w:pPr>
        <w:pStyle w:val="ListParagraph"/>
        <w:tabs>
          <w:tab w:val="left" w:pos="2199"/>
          <w:tab w:val="left" w:pos="2200"/>
        </w:tabs>
        <w:spacing w:before="2" w:line="264" w:lineRule="auto"/>
        <w:ind w:left="2770" w:right="474" w:firstLine="0"/>
        <w:rPr>
          <w:sz w:val="24"/>
        </w:rPr>
      </w:pPr>
    </w:p>
    <w:p w:rsidR="00401E88" w:rsidRDefault="00401E88" w:rsidP="00F16C22">
      <w:pPr>
        <w:pStyle w:val="BodyText"/>
        <w:spacing w:before="2"/>
        <w:rPr>
          <w:sz w:val="28"/>
        </w:rPr>
      </w:pPr>
    </w:p>
    <w:p w:rsidR="00401E88" w:rsidRDefault="00E122AA" w:rsidP="00F16C22">
      <w:pPr>
        <w:pStyle w:val="Heading1"/>
        <w:ind w:left="650"/>
      </w:pPr>
      <w:bookmarkStart w:id="4" w:name="Cost_Transfer_Checklist"/>
      <w:bookmarkEnd w:id="4"/>
      <w:r>
        <w:t>Cost</w:t>
      </w:r>
      <w:r>
        <w:rPr>
          <w:spacing w:val="-12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rPr>
          <w:spacing w:val="-2"/>
        </w:rPr>
        <w:t>Checklist</w:t>
      </w:r>
    </w:p>
    <w:p w:rsidR="00401E88" w:rsidRDefault="00E122AA" w:rsidP="00F16C22">
      <w:pPr>
        <w:pStyle w:val="BodyText"/>
        <w:spacing w:line="264" w:lineRule="auto"/>
        <w:ind w:left="650" w:right="907"/>
        <w:jc w:val="both"/>
      </w:pPr>
      <w:r>
        <w:t>When</w:t>
      </w:r>
      <w:r>
        <w:rPr>
          <w:spacing w:val="-3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transfer,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documentation 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 you</w:t>
      </w:r>
      <w:r>
        <w:rPr>
          <w:spacing w:val="-3"/>
        </w:rPr>
        <w:t xml:space="preserve"> </w:t>
      </w:r>
      <w:r>
        <w:t>have provided adequate documentation.</w:t>
      </w:r>
    </w:p>
    <w:p w:rsidR="00401E88" w:rsidRDefault="00401E88" w:rsidP="00F16C22">
      <w:pPr>
        <w:pStyle w:val="BodyText"/>
        <w:spacing w:before="2"/>
        <w:rPr>
          <w:sz w:val="11"/>
        </w:rPr>
      </w:pPr>
    </w:p>
    <w:tbl>
      <w:tblPr>
        <w:tblW w:w="0" w:type="auto"/>
        <w:tblInd w:w="65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  <w:gridCol w:w="631"/>
        <w:gridCol w:w="624"/>
        <w:gridCol w:w="636"/>
      </w:tblGrid>
      <w:tr w:rsidR="00401E88" w:rsidTr="00F16C22">
        <w:trPr>
          <w:trHeight w:val="266"/>
        </w:trPr>
        <w:tc>
          <w:tcPr>
            <w:tcW w:w="6019" w:type="dxa"/>
            <w:tcBorders>
              <w:top w:val="nil"/>
              <w:left w:val="nil"/>
              <w:right w:val="nil"/>
            </w:tcBorders>
          </w:tcPr>
          <w:p w:rsidR="00401E88" w:rsidRDefault="00E122AA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Have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you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clearly</w:t>
            </w:r>
            <w:r>
              <w:rPr>
                <w:b/>
                <w:i/>
                <w:spacing w:val="-2"/>
                <w:sz w:val="24"/>
              </w:rPr>
              <w:t xml:space="preserve"> shown: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:rsidR="00401E88" w:rsidRDefault="00E122AA">
            <w:pPr>
              <w:pStyle w:val="TableParagraph"/>
              <w:spacing w:line="246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401E88" w:rsidRDefault="00E122AA">
            <w:pPr>
              <w:pStyle w:val="TableParagraph"/>
              <w:spacing w:line="246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</w:tcPr>
          <w:p w:rsidR="00401E88" w:rsidRDefault="00E122AA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N/A</w:t>
            </w:r>
          </w:p>
        </w:tc>
      </w:tr>
      <w:tr w:rsidR="00401E88" w:rsidTr="00F16C22">
        <w:trPr>
          <w:trHeight w:val="275"/>
        </w:trPr>
        <w:tc>
          <w:tcPr>
            <w:tcW w:w="6019" w:type="dxa"/>
            <w:tcBorders>
              <w:left w:val="nil"/>
              <w:bottom w:val="nil"/>
            </w:tcBorders>
          </w:tcPr>
          <w:p w:rsidR="00401E88" w:rsidRDefault="00E122AA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reason why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expense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was charged </w:t>
            </w:r>
            <w:r>
              <w:rPr>
                <w:i/>
                <w:spacing w:val="-2"/>
                <w:sz w:val="24"/>
              </w:rPr>
              <w:t>incorrectly?</w:t>
            </w:r>
          </w:p>
        </w:tc>
        <w:tc>
          <w:tcPr>
            <w:tcW w:w="631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</w:tr>
      <w:tr w:rsidR="00401E88" w:rsidTr="00F16C22">
        <w:trPr>
          <w:trHeight w:val="275"/>
        </w:trPr>
        <w:tc>
          <w:tcPr>
            <w:tcW w:w="6019" w:type="dxa"/>
            <w:tcBorders>
              <w:top w:val="nil"/>
              <w:left w:val="nil"/>
              <w:bottom w:val="nil"/>
            </w:tcBorders>
          </w:tcPr>
          <w:p w:rsidR="00401E88" w:rsidRDefault="00E122AA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How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expense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directly 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receiving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grant?</w:t>
            </w:r>
          </w:p>
        </w:tc>
        <w:tc>
          <w:tcPr>
            <w:tcW w:w="631" w:type="dxa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</w:tr>
      <w:tr w:rsidR="00401E88" w:rsidTr="00F16C22">
        <w:trPr>
          <w:trHeight w:val="551"/>
        </w:trPr>
        <w:tc>
          <w:tcPr>
            <w:tcW w:w="6019" w:type="dxa"/>
            <w:tcBorders>
              <w:top w:val="nil"/>
              <w:left w:val="nil"/>
              <w:bottom w:val="nil"/>
            </w:tcBorders>
          </w:tcPr>
          <w:p w:rsidR="00401E88" w:rsidRDefault="00E122AA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How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expense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 allowable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receiving </w:t>
            </w:r>
            <w:r>
              <w:rPr>
                <w:i/>
                <w:spacing w:val="-2"/>
                <w:sz w:val="24"/>
              </w:rPr>
              <w:t>award</w:t>
            </w:r>
          </w:p>
          <w:p w:rsidR="00401E88" w:rsidRDefault="00E122AA">
            <w:pPr>
              <w:pStyle w:val="TableParagraph"/>
              <w:spacing w:line="261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gramStart"/>
            <w:r>
              <w:rPr>
                <w:i/>
                <w:spacing w:val="-2"/>
                <w:sz w:val="24"/>
              </w:rPr>
              <w:t>benefit</w:t>
            </w:r>
            <w:proofErr w:type="gramEnd"/>
            <w:r>
              <w:rPr>
                <w:i/>
                <w:spacing w:val="-2"/>
                <w:sz w:val="24"/>
              </w:rPr>
              <w:t>)?</w:t>
            </w:r>
          </w:p>
        </w:tc>
        <w:tc>
          <w:tcPr>
            <w:tcW w:w="631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</w:tr>
      <w:tr w:rsidR="00401E88" w:rsidTr="00F16C22">
        <w:trPr>
          <w:trHeight w:val="551"/>
        </w:trPr>
        <w:tc>
          <w:tcPr>
            <w:tcW w:w="6019" w:type="dxa"/>
            <w:tcBorders>
              <w:top w:val="nil"/>
              <w:left w:val="nil"/>
              <w:bottom w:val="nil"/>
            </w:tcBorders>
          </w:tcPr>
          <w:p w:rsidR="00401E88" w:rsidRDefault="00E122AA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allocation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transferring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expenses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to</w:t>
            </w:r>
          </w:p>
          <w:p w:rsidR="00401E88" w:rsidRDefault="00E122AA">
            <w:pPr>
              <w:pStyle w:val="TableParagraph"/>
              <w:spacing w:line="261" w:lineRule="exact"/>
              <w:ind w:left="11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multiple</w:t>
            </w:r>
            <w:proofErr w:type="gramEnd"/>
            <w:r>
              <w:rPr>
                <w:i/>
                <w:spacing w:val="-2"/>
                <w:sz w:val="24"/>
              </w:rPr>
              <w:t xml:space="preserve"> awards?</w:t>
            </w:r>
          </w:p>
        </w:tc>
        <w:tc>
          <w:tcPr>
            <w:tcW w:w="631" w:type="dxa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</w:tr>
      <w:tr w:rsidR="00401E88" w:rsidTr="00F16C22">
        <w:trPr>
          <w:trHeight w:val="551"/>
        </w:trPr>
        <w:tc>
          <w:tcPr>
            <w:tcW w:w="6019" w:type="dxa"/>
            <w:tcBorders>
              <w:top w:val="nil"/>
              <w:left w:val="nil"/>
              <w:bottom w:val="nil"/>
            </w:tcBorders>
          </w:tcPr>
          <w:p w:rsidR="00401E88" w:rsidRDefault="00E122AA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Any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systematic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problems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might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cause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problem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to</w:t>
            </w:r>
          </w:p>
          <w:p w:rsidR="00401E88" w:rsidRDefault="00E122AA">
            <w:pPr>
              <w:pStyle w:val="TableParagraph"/>
              <w:spacing w:line="261" w:lineRule="exact"/>
              <w:ind w:left="11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be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repeated have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been </w:t>
            </w:r>
            <w:r>
              <w:rPr>
                <w:i/>
                <w:spacing w:val="-2"/>
                <w:sz w:val="24"/>
              </w:rPr>
              <w:t>addressed?</w:t>
            </w:r>
          </w:p>
        </w:tc>
        <w:tc>
          <w:tcPr>
            <w:tcW w:w="631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</w:tr>
      <w:tr w:rsidR="00401E88" w:rsidTr="00F16C22">
        <w:trPr>
          <w:trHeight w:val="554"/>
        </w:trPr>
        <w:tc>
          <w:tcPr>
            <w:tcW w:w="6019" w:type="dxa"/>
            <w:tcBorders>
              <w:top w:val="nil"/>
              <w:left w:val="nil"/>
              <w:bottom w:val="nil"/>
            </w:tcBorders>
          </w:tcPr>
          <w:p w:rsidR="00401E88" w:rsidRDefault="00E122AA">
            <w:pPr>
              <w:pStyle w:val="TableParagraph"/>
              <w:spacing w:line="27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reason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timely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processing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transfer?</w:t>
            </w:r>
          </w:p>
        </w:tc>
        <w:tc>
          <w:tcPr>
            <w:tcW w:w="631" w:type="dxa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:rsidR="00401E88" w:rsidRDefault="00401E88">
            <w:pPr>
              <w:pStyle w:val="TableParagraph"/>
              <w:rPr>
                <w:sz w:val="24"/>
              </w:rPr>
            </w:pPr>
          </w:p>
        </w:tc>
      </w:tr>
      <w:tr w:rsidR="00401E88" w:rsidTr="00F16C22">
        <w:trPr>
          <w:trHeight w:val="275"/>
        </w:trPr>
        <w:tc>
          <w:tcPr>
            <w:tcW w:w="6019" w:type="dxa"/>
            <w:tcBorders>
              <w:top w:val="nil"/>
              <w:left w:val="nil"/>
              <w:bottom w:val="nil"/>
            </w:tcBorders>
          </w:tcPr>
          <w:p w:rsidR="00401E88" w:rsidRDefault="00E122AA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Confirmed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transfer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complies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Brandeis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policies?</w:t>
            </w:r>
          </w:p>
        </w:tc>
        <w:tc>
          <w:tcPr>
            <w:tcW w:w="631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shd w:val="clear" w:color="auto" w:fill="CCCCCC"/>
          </w:tcPr>
          <w:p w:rsidR="00401E88" w:rsidRDefault="00401E88">
            <w:pPr>
              <w:pStyle w:val="TableParagraph"/>
              <w:rPr>
                <w:sz w:val="20"/>
              </w:rPr>
            </w:pPr>
          </w:p>
        </w:tc>
      </w:tr>
    </w:tbl>
    <w:p w:rsidR="00401E88" w:rsidRDefault="00E122AA" w:rsidP="00F16C22">
      <w:pPr>
        <w:pStyle w:val="Heading1"/>
        <w:spacing w:before="248"/>
        <w:ind w:left="650"/>
      </w:pPr>
      <w:bookmarkStart w:id="5" w:name="Questions?"/>
      <w:bookmarkEnd w:id="5"/>
      <w:r>
        <w:rPr>
          <w:spacing w:val="-2"/>
        </w:rPr>
        <w:t>Questions?</w:t>
      </w:r>
    </w:p>
    <w:p w:rsidR="00401E88" w:rsidRDefault="00E122AA" w:rsidP="00F16C22">
      <w:pPr>
        <w:pStyle w:val="BodyText"/>
        <w:spacing w:line="264" w:lineRule="auto"/>
        <w:ind w:left="650" w:right="422"/>
      </w:pPr>
      <w:r>
        <w:t>If you need help determining the level of documentation required for a cost transfer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 xml:space="preserve">the </w:t>
      </w:r>
      <w:hyperlink r:id="rId9">
        <w:r>
          <w:rPr>
            <w:color w:val="0562C1"/>
            <w:u w:val="single" w:color="0562C1"/>
          </w:rPr>
          <w:t>Sponsored Programs Accounting</w:t>
        </w:r>
      </w:hyperlink>
      <w:r>
        <w:rPr>
          <w:color w:val="0562C1"/>
        </w:rPr>
        <w:t xml:space="preserve"> </w:t>
      </w:r>
      <w:r>
        <w:t>office.</w:t>
      </w:r>
    </w:p>
    <w:p w:rsidR="00401E88" w:rsidRDefault="00401E88" w:rsidP="00F16C22">
      <w:pPr>
        <w:pStyle w:val="BodyText"/>
        <w:spacing w:before="7"/>
        <w:rPr>
          <w:sz w:val="20"/>
        </w:rPr>
      </w:pPr>
    </w:p>
    <w:p w:rsidR="00401E88" w:rsidRDefault="00E122AA" w:rsidP="00F16C22">
      <w:pPr>
        <w:pStyle w:val="Heading1"/>
        <w:spacing w:before="86"/>
        <w:ind w:left="650"/>
      </w:pPr>
      <w:bookmarkStart w:id="6" w:name="Reference_Material"/>
      <w:bookmarkEnd w:id="6"/>
      <w:r>
        <w:t>Reference</w:t>
      </w:r>
      <w:r>
        <w:rPr>
          <w:spacing w:val="-18"/>
        </w:rPr>
        <w:t xml:space="preserve"> </w:t>
      </w:r>
      <w:r>
        <w:rPr>
          <w:spacing w:val="-2"/>
        </w:rPr>
        <w:t>Material</w:t>
      </w:r>
    </w:p>
    <w:p w:rsidR="00401E88" w:rsidRDefault="00E122AA" w:rsidP="00F16C22">
      <w:pPr>
        <w:pStyle w:val="ListParagraph"/>
        <w:numPr>
          <w:ilvl w:val="0"/>
          <w:numId w:val="1"/>
        </w:numPr>
        <w:tabs>
          <w:tab w:val="left" w:pos="2200"/>
        </w:tabs>
        <w:spacing w:line="273" w:lineRule="exact"/>
        <w:ind w:left="1370"/>
        <w:rPr>
          <w:sz w:val="24"/>
        </w:rPr>
      </w:pPr>
      <w:r>
        <w:rPr>
          <w:sz w:val="24"/>
        </w:rPr>
        <w:t>Brandeis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Policy.</w:t>
      </w:r>
    </w:p>
    <w:p w:rsidR="00401E88" w:rsidRDefault="006C3378" w:rsidP="00F16C22">
      <w:pPr>
        <w:pStyle w:val="ListParagraph"/>
        <w:numPr>
          <w:ilvl w:val="1"/>
          <w:numId w:val="1"/>
        </w:numPr>
        <w:tabs>
          <w:tab w:val="left" w:pos="2919"/>
          <w:tab w:val="left" w:pos="2920"/>
        </w:tabs>
        <w:spacing w:before="29" w:line="264" w:lineRule="auto"/>
        <w:ind w:left="2090" w:right="564"/>
        <w:rPr>
          <w:sz w:val="24"/>
        </w:rPr>
      </w:pPr>
      <w:hyperlink r:id="rId10">
        <w:r w:rsidR="00E122AA">
          <w:rPr>
            <w:color w:val="0562C1"/>
            <w:spacing w:val="-2"/>
            <w:sz w:val="24"/>
            <w:u w:val="single" w:color="0562C1"/>
          </w:rPr>
          <w:t>https://www.brandeis.edu/business-finance/sponsored-</w:t>
        </w:r>
      </w:hyperlink>
      <w:r w:rsidR="00E122AA">
        <w:rPr>
          <w:color w:val="0562C1"/>
          <w:spacing w:val="-2"/>
          <w:sz w:val="24"/>
        </w:rPr>
        <w:t xml:space="preserve"> </w:t>
      </w:r>
      <w:hyperlink r:id="rId11">
        <w:r w:rsidR="00E122AA">
          <w:rPr>
            <w:color w:val="0562C1"/>
            <w:spacing w:val="-2"/>
            <w:sz w:val="24"/>
            <w:u w:val="single" w:color="0562C1"/>
          </w:rPr>
          <w:t>accounting/policies/Brandeis%20Cost%20Transfer%20Policy.pdf</w:t>
        </w:r>
      </w:hyperlink>
    </w:p>
    <w:p w:rsidR="00401E88" w:rsidRDefault="00E122AA" w:rsidP="00F16C22">
      <w:pPr>
        <w:pStyle w:val="ListParagraph"/>
        <w:numPr>
          <w:ilvl w:val="0"/>
          <w:numId w:val="1"/>
        </w:numPr>
        <w:tabs>
          <w:tab w:val="left" w:pos="2200"/>
        </w:tabs>
        <w:spacing w:line="264" w:lineRule="auto"/>
        <w:ind w:left="1370" w:right="455"/>
        <w:rPr>
          <w:sz w:val="24"/>
        </w:rPr>
      </w:pPr>
      <w:r>
        <w:rPr>
          <w:sz w:val="24"/>
        </w:rPr>
        <w:t>Uniform Administrative Requirements, Cost Principles, and Audit 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200)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 and Budget (OMB) Circulars.</w:t>
      </w:r>
    </w:p>
    <w:p w:rsidR="00401E88" w:rsidRDefault="00E122AA" w:rsidP="00F16C22">
      <w:pPr>
        <w:pStyle w:val="ListParagraph"/>
        <w:numPr>
          <w:ilvl w:val="1"/>
          <w:numId w:val="1"/>
        </w:numPr>
        <w:tabs>
          <w:tab w:val="left" w:pos="2919"/>
          <w:tab w:val="left" w:pos="2920"/>
        </w:tabs>
        <w:spacing w:line="275" w:lineRule="exact"/>
        <w:ind w:left="2090"/>
        <w:rPr>
          <w:sz w:val="24"/>
        </w:rPr>
      </w:pPr>
      <w:r>
        <w:rPr>
          <w:sz w:val="24"/>
        </w:rPr>
        <w:t>200.405</w:t>
      </w:r>
      <w:r>
        <w:rPr>
          <w:spacing w:val="-2"/>
          <w:sz w:val="24"/>
        </w:rPr>
        <w:t xml:space="preserve"> </w:t>
      </w:r>
      <w:r>
        <w:rPr>
          <w:sz w:val="24"/>
        </w:rPr>
        <w:t>Allocable</w:t>
      </w:r>
      <w:r>
        <w:rPr>
          <w:spacing w:val="-2"/>
          <w:sz w:val="24"/>
        </w:rPr>
        <w:t xml:space="preserve"> costs</w:t>
      </w:r>
    </w:p>
    <w:p w:rsidR="00401E88" w:rsidRDefault="006C3378" w:rsidP="00F16C22">
      <w:pPr>
        <w:pStyle w:val="BodyText"/>
        <w:spacing w:before="28" w:line="264" w:lineRule="auto"/>
        <w:ind w:left="2090" w:right="936"/>
      </w:pPr>
      <w:hyperlink r:id="rId12">
        <w:r w:rsidR="00E122AA">
          <w:rPr>
            <w:color w:val="0562C1"/>
            <w:spacing w:val="-2"/>
            <w:u w:val="single" w:color="0562C1"/>
          </w:rPr>
          <w:t>https://www.ecfr.gov/current/title-2/subtitle-A/chapter-II/part-</w:t>
        </w:r>
      </w:hyperlink>
      <w:r w:rsidR="00E122AA">
        <w:rPr>
          <w:color w:val="0562C1"/>
          <w:spacing w:val="-2"/>
        </w:rPr>
        <w:t xml:space="preserve"> </w:t>
      </w:r>
      <w:hyperlink r:id="rId13">
        <w:r w:rsidR="00E122AA">
          <w:rPr>
            <w:color w:val="0562C1"/>
            <w:spacing w:val="-2"/>
            <w:u w:val="single" w:color="0562C1"/>
          </w:rPr>
          <w:t>200/subpart-E</w:t>
        </w:r>
        <w:r w:rsidR="00E122AA">
          <w:rPr>
            <w:spacing w:val="-2"/>
          </w:rPr>
          <w:t>.</w:t>
        </w:r>
      </w:hyperlink>
    </w:p>
    <w:p w:rsidR="00401E88" w:rsidRDefault="00E122AA" w:rsidP="00F16C22">
      <w:pPr>
        <w:pStyle w:val="ListParagraph"/>
        <w:numPr>
          <w:ilvl w:val="0"/>
          <w:numId w:val="1"/>
        </w:numPr>
        <w:tabs>
          <w:tab w:val="left" w:pos="2200"/>
        </w:tabs>
        <w:ind w:left="137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NIH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(NIHGPS)</w:t>
      </w:r>
      <w:r>
        <w:rPr>
          <w:spacing w:val="-2"/>
          <w:sz w:val="24"/>
        </w:rPr>
        <w:t xml:space="preserve"> </w:t>
      </w:r>
      <w:r>
        <w:rPr>
          <w:sz w:val="24"/>
        </w:rPr>
        <w:t>(Rev.</w:t>
      </w:r>
      <w:r>
        <w:rPr>
          <w:spacing w:val="-1"/>
          <w:sz w:val="24"/>
        </w:rPr>
        <w:t xml:space="preserve"> </w:t>
      </w:r>
      <w:r>
        <w:rPr>
          <w:sz w:val="24"/>
        </w:rPr>
        <w:t>11/16)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7.5</w:t>
      </w:r>
    </w:p>
    <w:p w:rsidR="00401E88" w:rsidRDefault="006C3378" w:rsidP="00F16C22">
      <w:pPr>
        <w:pStyle w:val="ListParagraph"/>
        <w:numPr>
          <w:ilvl w:val="1"/>
          <w:numId w:val="1"/>
        </w:numPr>
        <w:tabs>
          <w:tab w:val="left" w:pos="2920"/>
        </w:tabs>
        <w:spacing w:before="27" w:line="264" w:lineRule="auto"/>
        <w:ind w:left="2090" w:right="466"/>
        <w:jc w:val="both"/>
        <w:rPr>
          <w:sz w:val="24"/>
        </w:rPr>
      </w:pPr>
      <w:hyperlink r:id="rId14">
        <w:r w:rsidR="00E122AA">
          <w:rPr>
            <w:color w:val="0562C1"/>
            <w:spacing w:val="-2"/>
            <w:sz w:val="24"/>
            <w:u w:val="single" w:color="0562C1"/>
          </w:rPr>
          <w:t>https://grants.nih.gov/grants/policy/nihgps/html5/section_7/7.5_co</w:t>
        </w:r>
      </w:hyperlink>
      <w:r w:rsidR="00E122AA">
        <w:rPr>
          <w:color w:val="0562C1"/>
          <w:spacing w:val="-2"/>
          <w:sz w:val="24"/>
        </w:rPr>
        <w:t xml:space="preserve"> </w:t>
      </w:r>
      <w:hyperlink r:id="rId15">
        <w:proofErr w:type="spellStart"/>
        <w:r w:rsidR="00E122AA">
          <w:rPr>
            <w:color w:val="0562C1"/>
            <w:sz w:val="24"/>
            <w:u w:val="single" w:color="0562C1"/>
          </w:rPr>
          <w:t>st_transfers</w:t>
        </w:r>
        <w:proofErr w:type="spellEnd"/>
        <w:r w:rsidR="00E122AA">
          <w:rPr>
            <w:color w:val="0562C1"/>
            <w:sz w:val="24"/>
            <w:u w:val="single" w:color="0562C1"/>
          </w:rPr>
          <w:t xml:space="preserve"> overruns </w:t>
        </w:r>
        <w:proofErr w:type="spellStart"/>
        <w:r w:rsidR="00E122AA">
          <w:rPr>
            <w:color w:val="0562C1"/>
            <w:sz w:val="24"/>
            <w:u w:val="single" w:color="0562C1"/>
          </w:rPr>
          <w:t>and_accelerated_and_delayed_expenditur</w:t>
        </w:r>
        <w:proofErr w:type="spellEnd"/>
      </w:hyperlink>
      <w:r w:rsidR="00E122AA">
        <w:rPr>
          <w:color w:val="0562C1"/>
          <w:sz w:val="24"/>
        </w:rPr>
        <w:t xml:space="preserve"> </w:t>
      </w:r>
      <w:hyperlink r:id="rId16">
        <w:r w:rsidR="00E122AA">
          <w:rPr>
            <w:color w:val="0562C1"/>
            <w:spacing w:val="-2"/>
            <w:sz w:val="24"/>
            <w:u w:val="single" w:color="0562C1"/>
          </w:rPr>
          <w:t>es.htm</w:t>
        </w:r>
      </w:hyperlink>
      <w:r w:rsidR="00E122AA">
        <w:rPr>
          <w:spacing w:val="-2"/>
          <w:sz w:val="24"/>
        </w:rPr>
        <w:t>.</w:t>
      </w:r>
    </w:p>
    <w:p w:rsidR="00401E88" w:rsidRDefault="00E122AA" w:rsidP="00F16C22">
      <w:pPr>
        <w:pStyle w:val="ListParagraph"/>
        <w:numPr>
          <w:ilvl w:val="0"/>
          <w:numId w:val="1"/>
        </w:numPr>
        <w:tabs>
          <w:tab w:val="left" w:pos="2200"/>
        </w:tabs>
        <w:spacing w:before="1"/>
        <w:ind w:left="137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NSF’s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NSF</w:t>
      </w:r>
      <w:r>
        <w:rPr>
          <w:spacing w:val="-4"/>
          <w:sz w:val="24"/>
        </w:rPr>
        <w:t xml:space="preserve"> </w:t>
      </w:r>
      <w:r>
        <w:rPr>
          <w:sz w:val="24"/>
        </w:rPr>
        <w:t>05-131_III. Grant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Administration</w:t>
      </w:r>
    </w:p>
    <w:p w:rsidR="00401E88" w:rsidRDefault="006C3378" w:rsidP="00F16C22">
      <w:pPr>
        <w:pStyle w:val="ListParagraph"/>
        <w:numPr>
          <w:ilvl w:val="1"/>
          <w:numId w:val="1"/>
        </w:numPr>
        <w:tabs>
          <w:tab w:val="left" w:pos="2920"/>
        </w:tabs>
        <w:spacing w:before="27"/>
        <w:ind w:left="2090" w:hanging="361"/>
        <w:jc w:val="both"/>
        <w:rPr>
          <w:sz w:val="24"/>
        </w:rPr>
      </w:pPr>
      <w:hyperlink r:id="rId17">
        <w:r w:rsidR="00E122AA">
          <w:rPr>
            <w:color w:val="0562C1"/>
            <w:spacing w:val="-2"/>
            <w:sz w:val="24"/>
            <w:u w:val="single" w:color="0562C1"/>
          </w:rPr>
          <w:t>https://www.nsf.gov/pubs/manuals/gpm05_131/gpm3.jsp</w:t>
        </w:r>
      </w:hyperlink>
    </w:p>
    <w:sectPr w:rsidR="00401E88">
      <w:headerReference w:type="default" r:id="rId18"/>
      <w:pgSz w:w="12240" w:h="15840"/>
      <w:pgMar w:top="980" w:right="1720" w:bottom="280" w:left="6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74" w:rsidRDefault="00E122AA">
      <w:r>
        <w:separator/>
      </w:r>
    </w:p>
  </w:endnote>
  <w:endnote w:type="continuationSeparator" w:id="0">
    <w:p w:rsidR="00D07D74" w:rsidRDefault="00E1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74" w:rsidRDefault="00E122AA">
      <w:r>
        <w:separator/>
      </w:r>
    </w:p>
  </w:footnote>
  <w:footnote w:type="continuationSeparator" w:id="0">
    <w:p w:rsidR="00D07D74" w:rsidRDefault="00E1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88" w:rsidRDefault="007C3F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447675</wp:posOffset>
              </wp:positionV>
              <wp:extent cx="714375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E88" w:rsidRDefault="00E122A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6C3378">
                            <w:rPr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C3378">
                            <w:rPr>
                              <w:b/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8.65pt;margin-top:35.25pt;width:56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" filled="f" stroked="f">
              <v:textbox inset="0,0,0,0">
                <w:txbxContent>
                  <w:p w:rsidR="00401E88" w:rsidRDefault="00E122A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6C3378">
                      <w:rPr>
                        <w:b/>
                        <w:noProof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 w:rsidR="006C3378">
                      <w:rPr>
                        <w:b/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238"/>
    <w:multiLevelType w:val="hybridMultilevel"/>
    <w:tmpl w:val="A9D4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58D"/>
    <w:multiLevelType w:val="hybridMultilevel"/>
    <w:tmpl w:val="13A26C3A"/>
    <w:lvl w:ilvl="0" w:tplc="8EBA1DEC">
      <w:start w:val="1"/>
      <w:numFmt w:val="decimal"/>
      <w:lvlText w:val="%1."/>
      <w:lvlJc w:val="left"/>
      <w:pPr>
        <w:ind w:left="4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45CE4DC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83E090D2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3" w:tplc="6E94A884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4" w:tplc="7370F08A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5" w:tplc="902EB204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6" w:tplc="EA58F65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7" w:tplc="F83CB34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9F3EAB0A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D350D3"/>
    <w:multiLevelType w:val="hybridMultilevel"/>
    <w:tmpl w:val="FABC8270"/>
    <w:lvl w:ilvl="0" w:tplc="963E4EB0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021870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plc="05C0D0D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 w:tplc="2880322E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4" w:tplc="81FAD85E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1CECCB4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CD54C90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F554354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0FB267F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AB3238"/>
    <w:multiLevelType w:val="hybridMultilevel"/>
    <w:tmpl w:val="714000F8"/>
    <w:lvl w:ilvl="0" w:tplc="A08219EA">
      <w:start w:val="1"/>
      <w:numFmt w:val="decimal"/>
      <w:lvlText w:val="%1."/>
      <w:lvlJc w:val="left"/>
      <w:pPr>
        <w:ind w:left="2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F74AC86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CB6000E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 w:tplc="5F1E570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4" w:tplc="C958BE1A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643253DA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47503324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556A3212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6A20C6F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CF4200"/>
    <w:multiLevelType w:val="hybridMultilevel"/>
    <w:tmpl w:val="6D7A4E8E"/>
    <w:lvl w:ilvl="0" w:tplc="04B6F2F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AFEB8BE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FFFAB05C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3" w:tplc="6DDC0714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4" w:tplc="DB56173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5" w:tplc="DA42D38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6" w:tplc="4752A980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7" w:tplc="416AEE52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8" w:tplc="53B499C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A52869"/>
    <w:multiLevelType w:val="hybridMultilevel"/>
    <w:tmpl w:val="0B96F792"/>
    <w:lvl w:ilvl="0" w:tplc="49BC13B6">
      <w:start w:val="1"/>
      <w:numFmt w:val="decimal"/>
      <w:lvlText w:val="%1."/>
      <w:lvlJc w:val="left"/>
      <w:pPr>
        <w:ind w:left="355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746A28"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2" w:tplc="F5ECEE7A">
      <w:numFmt w:val="bullet"/>
      <w:lvlText w:val="•"/>
      <w:lvlJc w:val="left"/>
      <w:pPr>
        <w:ind w:left="790" w:hanging="269"/>
      </w:pPr>
      <w:rPr>
        <w:rFonts w:hint="default"/>
        <w:lang w:val="en-US" w:eastAsia="en-US" w:bidi="ar-SA"/>
      </w:rPr>
    </w:lvl>
    <w:lvl w:ilvl="3" w:tplc="758C0946">
      <w:numFmt w:val="bullet"/>
      <w:lvlText w:val="•"/>
      <w:lvlJc w:val="left"/>
      <w:pPr>
        <w:ind w:left="1005" w:hanging="269"/>
      </w:pPr>
      <w:rPr>
        <w:rFonts w:hint="default"/>
        <w:lang w:val="en-US" w:eastAsia="en-US" w:bidi="ar-SA"/>
      </w:rPr>
    </w:lvl>
    <w:lvl w:ilvl="4" w:tplc="17185FA6">
      <w:numFmt w:val="bullet"/>
      <w:lvlText w:val="•"/>
      <w:lvlJc w:val="left"/>
      <w:pPr>
        <w:ind w:left="1220" w:hanging="269"/>
      </w:pPr>
      <w:rPr>
        <w:rFonts w:hint="default"/>
        <w:lang w:val="en-US" w:eastAsia="en-US" w:bidi="ar-SA"/>
      </w:rPr>
    </w:lvl>
    <w:lvl w:ilvl="5" w:tplc="BAA4A8F6">
      <w:numFmt w:val="bullet"/>
      <w:lvlText w:val="•"/>
      <w:lvlJc w:val="left"/>
      <w:pPr>
        <w:ind w:left="1435" w:hanging="269"/>
      </w:pPr>
      <w:rPr>
        <w:rFonts w:hint="default"/>
        <w:lang w:val="en-US" w:eastAsia="en-US" w:bidi="ar-SA"/>
      </w:rPr>
    </w:lvl>
    <w:lvl w:ilvl="6" w:tplc="84342B8C">
      <w:numFmt w:val="bullet"/>
      <w:lvlText w:val="•"/>
      <w:lvlJc w:val="left"/>
      <w:pPr>
        <w:ind w:left="1650" w:hanging="269"/>
      </w:pPr>
      <w:rPr>
        <w:rFonts w:hint="default"/>
        <w:lang w:val="en-US" w:eastAsia="en-US" w:bidi="ar-SA"/>
      </w:rPr>
    </w:lvl>
    <w:lvl w:ilvl="7" w:tplc="E84E89B8">
      <w:numFmt w:val="bullet"/>
      <w:lvlText w:val="•"/>
      <w:lvlJc w:val="left"/>
      <w:pPr>
        <w:ind w:left="1865" w:hanging="269"/>
      </w:pPr>
      <w:rPr>
        <w:rFonts w:hint="default"/>
        <w:lang w:val="en-US" w:eastAsia="en-US" w:bidi="ar-SA"/>
      </w:rPr>
    </w:lvl>
    <w:lvl w:ilvl="8" w:tplc="C62C2146">
      <w:numFmt w:val="bullet"/>
      <w:lvlText w:val="•"/>
      <w:lvlJc w:val="left"/>
      <w:pPr>
        <w:ind w:left="2080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4A42032F"/>
    <w:multiLevelType w:val="hybridMultilevel"/>
    <w:tmpl w:val="B008A98C"/>
    <w:lvl w:ilvl="0" w:tplc="033A2162">
      <w:start w:val="1"/>
      <w:numFmt w:val="decimal"/>
      <w:lvlText w:val="%1."/>
      <w:lvlJc w:val="left"/>
      <w:pPr>
        <w:ind w:left="2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1898B2">
      <w:numFmt w:val="bullet"/>
      <w:lvlText w:val=""/>
      <w:lvlJc w:val="left"/>
      <w:pPr>
        <w:ind w:left="2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1E8426A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3" w:tplc="59C4371E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4" w:tplc="EB082210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 w:tplc="400C90E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00DA276C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D8584468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C19C1460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9F5B18"/>
    <w:multiLevelType w:val="hybridMultilevel"/>
    <w:tmpl w:val="F9F6081E"/>
    <w:lvl w:ilvl="0" w:tplc="C038A02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68CC66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15B2A100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3" w:tplc="1096CA44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4" w:tplc="1158CA50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5" w:tplc="0884F00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6" w:tplc="D7B85590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7" w:tplc="F7925864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8" w:tplc="7E14632C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F231B6"/>
    <w:multiLevelType w:val="hybridMultilevel"/>
    <w:tmpl w:val="8488E952"/>
    <w:lvl w:ilvl="0" w:tplc="8548B658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E4A9802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F9942816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3" w:tplc="1E26E668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4" w:tplc="DAE4D53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5" w:tplc="1BFCF2FE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6" w:tplc="A18CEB20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7" w:tplc="BE3ECED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8" w:tplc="D310AE84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767053"/>
    <w:multiLevelType w:val="hybridMultilevel"/>
    <w:tmpl w:val="FACCFA64"/>
    <w:lvl w:ilvl="0" w:tplc="4FD4F61E">
      <w:start w:val="1"/>
      <w:numFmt w:val="decimal"/>
      <w:lvlText w:val="%1."/>
      <w:lvlJc w:val="left"/>
      <w:pPr>
        <w:ind w:left="4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28C724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8F263C40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3" w:tplc="D7B028A0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4" w:tplc="0B287B88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5" w:tplc="97729FE4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6" w:tplc="62E8E1B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7" w:tplc="1C740FAC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8" w:tplc="AB80D2A2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E6960B8"/>
    <w:multiLevelType w:val="hybridMultilevel"/>
    <w:tmpl w:val="5EE8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88"/>
    <w:rsid w:val="00043ED9"/>
    <w:rsid w:val="0009233A"/>
    <w:rsid w:val="002044B0"/>
    <w:rsid w:val="002E10D7"/>
    <w:rsid w:val="002F47E0"/>
    <w:rsid w:val="00401E88"/>
    <w:rsid w:val="006C3378"/>
    <w:rsid w:val="0072477C"/>
    <w:rsid w:val="007C3F40"/>
    <w:rsid w:val="0081132F"/>
    <w:rsid w:val="00D07D74"/>
    <w:rsid w:val="00D3587F"/>
    <w:rsid w:val="00E122AA"/>
    <w:rsid w:val="00F16C22"/>
    <w:rsid w:val="00F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CCBFF"/>
  <w15:docId w15:val="{BFF4C2CA-3397-417B-A654-979586C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65" w:lineRule="exact"/>
      <w:ind w:left="148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480" w:right="2152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2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4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3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59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5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ndeis.edu/business-finance/sponsored-accounting/policies/index.html" TargetMode="External"/><Relationship Id="rId13" Type="http://schemas.openxmlformats.org/officeDocument/2006/relationships/hyperlink" Target="https://www.ecfr.gov/current/title-2/subtitle-A/chapter-II/part-200/subpart-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cfr.gov/current/title-2/subtitle-A/chapter-II/part-200/subpart-E" TargetMode="External"/><Relationship Id="rId17" Type="http://schemas.openxmlformats.org/officeDocument/2006/relationships/hyperlink" Target="https://www.nsf.gov/pubs/manuals/gpm05_131/gpm3.j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ants.nih.gov/grants/policy/nihgps/html5/section_7/7.5_cost_transfers__overruns__and_accelerated_and_delayed_expenditures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andeis.edu/business-finance/sponsored-accounting/policies/Brandeis%20Cost%20Transfer%20Polic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ants.nih.gov/grants/policy/nihgps/html5/section_7/7.5_cost_transfers__overruns__and_accelerated_and_delayed_expenditures.htm" TargetMode="External"/><Relationship Id="rId10" Type="http://schemas.openxmlformats.org/officeDocument/2006/relationships/hyperlink" Target="https://www.brandeis.edu/business-finance/sponsored-accounting/policies/Brandeis%20Cost%20Transfer%20Policy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andeis.edu/business-finance/sponsored-accounting/index.html" TargetMode="External"/><Relationship Id="rId14" Type="http://schemas.openxmlformats.org/officeDocument/2006/relationships/hyperlink" Target="https://grants.nih.gov/grants/policy/nihgps/html5/section_7/7.5_cost_transfers__overruns__and_accelerated_and_delayed_expenditur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Songer</dc:creator>
  <dc:description/>
  <cp:lastModifiedBy>Roy Bourne</cp:lastModifiedBy>
  <cp:revision>9</cp:revision>
  <cp:lastPrinted>2023-04-14T13:37:00Z</cp:lastPrinted>
  <dcterms:created xsi:type="dcterms:W3CDTF">2023-04-12T15:06:00Z</dcterms:created>
  <dcterms:modified xsi:type="dcterms:W3CDTF">2023-04-14T13:54:00Z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2023-04-12T00:00:00Z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D:20220512194041</vt:lpwstr>
  </property>
</Properties>
</file>