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34A49" w14:textId="77777777" w:rsidR="00E83828" w:rsidRPr="008D3E84" w:rsidRDefault="00E83828" w:rsidP="00B8247A">
      <w:pPr>
        <w:rPr>
          <w:rFonts w:ascii="Cambria" w:hAnsi="Cambria"/>
          <w:b/>
        </w:rPr>
      </w:pPr>
    </w:p>
    <w:p w14:paraId="13F397E8" w14:textId="77ED4291" w:rsidR="00E83828" w:rsidRPr="008D3E84" w:rsidRDefault="00AD49B0" w:rsidP="00B8247A">
      <w:pPr>
        <w:rPr>
          <w:rFonts w:ascii="Cambria" w:hAnsi="Cambria"/>
          <w:b/>
        </w:rPr>
      </w:pPr>
      <w:r w:rsidRPr="008D3E84">
        <w:rPr>
          <w:rFonts w:ascii="Cambria" w:hAnsi="Cambria"/>
          <w:b/>
        </w:rPr>
        <w:t>Grater Washington, DC Jewish Community Study, 2017</w:t>
      </w:r>
    </w:p>
    <w:p w14:paraId="57B5D378" w14:textId="757E93A8" w:rsidR="00E83828" w:rsidRPr="008D3E84" w:rsidRDefault="00E83828" w:rsidP="00B8247A">
      <w:pPr>
        <w:rPr>
          <w:rFonts w:ascii="Cambria" w:hAnsi="Cambria"/>
          <w:b/>
        </w:rPr>
      </w:pPr>
      <w:r w:rsidRPr="008D3E84">
        <w:rPr>
          <w:rFonts w:ascii="Cambria" w:hAnsi="Cambria"/>
          <w:b/>
        </w:rPr>
        <w:t>Cohen Center for Modern Jewish Studies, Brandeis University</w:t>
      </w:r>
    </w:p>
    <w:p w14:paraId="751DC7C3" w14:textId="77777777" w:rsidR="00E83828" w:rsidRPr="008D3E84" w:rsidRDefault="00E83828" w:rsidP="00B8247A">
      <w:pPr>
        <w:rPr>
          <w:rFonts w:ascii="Cambria" w:hAnsi="Cambria"/>
          <w:b/>
        </w:rPr>
      </w:pPr>
      <w:r w:rsidRPr="008D3E84">
        <w:rPr>
          <w:rFonts w:ascii="Cambria" w:hAnsi="Cambria"/>
          <w:b/>
        </w:rPr>
        <w:t xml:space="preserve">Documentation of Public Use Data Set </w:t>
      </w:r>
    </w:p>
    <w:p w14:paraId="27A30642" w14:textId="4E5768EA" w:rsidR="00E83828" w:rsidRPr="008D3E84" w:rsidRDefault="00E83828" w:rsidP="00B8247A">
      <w:pPr>
        <w:rPr>
          <w:rFonts w:ascii="Cambria" w:hAnsi="Cambria"/>
          <w:i/>
        </w:rPr>
      </w:pPr>
      <w:r w:rsidRPr="008D3E84">
        <w:rPr>
          <w:rFonts w:ascii="Cambria" w:hAnsi="Cambria"/>
          <w:i/>
        </w:rPr>
        <w:t xml:space="preserve">For more information contact Janet Krasner Aronson, </w:t>
      </w:r>
      <w:hyperlink r:id="rId7" w:history="1">
        <w:r w:rsidR="00C35004" w:rsidRPr="008D3E84">
          <w:rPr>
            <w:rStyle w:val="Hyperlink"/>
            <w:rFonts w:ascii="Cambria" w:hAnsi="Cambria"/>
            <w:i/>
          </w:rPr>
          <w:t>jaronson@brandeis.edu</w:t>
        </w:r>
      </w:hyperlink>
    </w:p>
    <w:p w14:paraId="29D689D6" w14:textId="3508C67F" w:rsidR="00C35004" w:rsidRPr="008D3E84" w:rsidRDefault="00155A45" w:rsidP="00B8247A">
      <w:pPr>
        <w:rPr>
          <w:rFonts w:ascii="Cambria" w:hAnsi="Cambria"/>
          <w:i/>
        </w:rPr>
      </w:pPr>
      <w:r w:rsidRPr="008D3E84">
        <w:rPr>
          <w:rFonts w:ascii="Cambria" w:hAnsi="Cambria"/>
          <w:i/>
        </w:rPr>
        <w:t>V</w:t>
      </w:r>
      <w:r w:rsidR="00C35004" w:rsidRPr="008D3E84">
        <w:rPr>
          <w:rFonts w:ascii="Cambria" w:hAnsi="Cambria"/>
          <w:i/>
        </w:rPr>
        <w:t xml:space="preserve">ersion </w:t>
      </w:r>
      <w:r w:rsidR="00AD49B0" w:rsidRPr="008D3E84">
        <w:rPr>
          <w:rFonts w:ascii="Cambria" w:hAnsi="Cambria"/>
          <w:i/>
        </w:rPr>
        <w:t xml:space="preserve">March </w:t>
      </w:r>
      <w:r w:rsidR="00A76A09">
        <w:rPr>
          <w:rFonts w:ascii="Cambria" w:hAnsi="Cambria"/>
          <w:i/>
        </w:rPr>
        <w:t>23</w:t>
      </w:r>
      <w:r w:rsidR="00AD49B0" w:rsidRPr="008D3E84">
        <w:rPr>
          <w:rFonts w:ascii="Cambria" w:hAnsi="Cambria"/>
          <w:i/>
        </w:rPr>
        <w:t>,</w:t>
      </w:r>
      <w:r w:rsidR="00C35004" w:rsidRPr="008D3E84">
        <w:rPr>
          <w:rFonts w:ascii="Cambria" w:hAnsi="Cambria"/>
          <w:i/>
        </w:rPr>
        <w:t xml:space="preserve"> 201</w:t>
      </w:r>
      <w:r w:rsidR="00AD49B0" w:rsidRPr="008D3E84">
        <w:rPr>
          <w:rFonts w:ascii="Cambria" w:hAnsi="Cambria"/>
          <w:i/>
        </w:rPr>
        <w:t>8</w:t>
      </w:r>
    </w:p>
    <w:p w14:paraId="3433E18D" w14:textId="77777777" w:rsidR="00E83828" w:rsidRPr="008D3E84" w:rsidRDefault="00E83828" w:rsidP="00B8247A">
      <w:pPr>
        <w:rPr>
          <w:rFonts w:ascii="Cambria" w:hAnsi="Cambria"/>
          <w:b/>
        </w:rPr>
      </w:pPr>
    </w:p>
    <w:p w14:paraId="7EB594E3" w14:textId="2F507F3A" w:rsidR="00E83828" w:rsidRPr="008D3E84" w:rsidRDefault="00E83828">
      <w:pPr>
        <w:rPr>
          <w:rFonts w:ascii="Cambria" w:hAnsi="Cambria"/>
          <w:b/>
        </w:rPr>
      </w:pPr>
      <w:r w:rsidRPr="008D3E84">
        <w:rPr>
          <w:rFonts w:ascii="Cambria" w:hAnsi="Cambria"/>
          <w:b/>
        </w:rPr>
        <w:t>Introduction</w:t>
      </w:r>
    </w:p>
    <w:p w14:paraId="1125A9C7" w14:textId="77777777" w:rsidR="00E83828" w:rsidRPr="008D3E84" w:rsidRDefault="00E83828" w:rsidP="00B8247A">
      <w:pPr>
        <w:rPr>
          <w:rFonts w:ascii="Cambria" w:hAnsi="Cambria"/>
          <w:b/>
        </w:rPr>
      </w:pPr>
    </w:p>
    <w:p w14:paraId="772E81E1" w14:textId="17FFF9BB" w:rsidR="007475A1" w:rsidRPr="008D3E84" w:rsidRDefault="00EE63C2" w:rsidP="00B8247A">
      <w:pPr>
        <w:rPr>
          <w:rFonts w:ascii="Cambria" w:hAnsi="Cambria"/>
        </w:rPr>
      </w:pPr>
      <w:r w:rsidRPr="008D3E84">
        <w:rPr>
          <w:rFonts w:ascii="Cambria" w:hAnsi="Cambria"/>
        </w:rPr>
        <w:t xml:space="preserve">This document </w:t>
      </w:r>
      <w:r w:rsidR="00EF35BB" w:rsidRPr="008D3E84">
        <w:rPr>
          <w:rFonts w:ascii="Cambria" w:hAnsi="Cambria"/>
        </w:rPr>
        <w:t xml:space="preserve">describes the </w:t>
      </w:r>
      <w:r w:rsidR="00AD49B0" w:rsidRPr="008D3E84">
        <w:rPr>
          <w:rFonts w:ascii="Cambria" w:hAnsi="Cambria"/>
        </w:rPr>
        <w:t>Public Use Data Set for the 2017</w:t>
      </w:r>
      <w:r w:rsidR="00EF35BB" w:rsidRPr="008D3E84">
        <w:rPr>
          <w:rFonts w:ascii="Cambria" w:hAnsi="Cambria"/>
        </w:rPr>
        <w:t xml:space="preserve"> Greater </w:t>
      </w:r>
      <w:r w:rsidR="00AD49B0" w:rsidRPr="008D3E84">
        <w:rPr>
          <w:rFonts w:ascii="Cambria" w:hAnsi="Cambria"/>
        </w:rPr>
        <w:t>Washington, DC</w:t>
      </w:r>
      <w:r w:rsidR="00EF35BB" w:rsidRPr="008D3E84">
        <w:rPr>
          <w:rFonts w:ascii="Cambria" w:hAnsi="Cambria"/>
        </w:rPr>
        <w:t xml:space="preserve"> Jewish Community Study. It explains the constructed variables in the dataset </w:t>
      </w:r>
      <w:r w:rsidR="00102F3B" w:rsidRPr="008D3E84">
        <w:rPr>
          <w:rFonts w:ascii="Cambria" w:hAnsi="Cambria"/>
        </w:rPr>
        <w:t>and</w:t>
      </w:r>
      <w:r w:rsidR="00EF35BB" w:rsidRPr="008D3E84">
        <w:rPr>
          <w:rFonts w:ascii="Cambria" w:hAnsi="Cambria"/>
        </w:rPr>
        <w:t xml:space="preserve"> the procedures for statistical weighting. </w:t>
      </w:r>
    </w:p>
    <w:p w14:paraId="12A08CE4" w14:textId="77777777" w:rsidR="007475A1" w:rsidRPr="008D3E84" w:rsidRDefault="007475A1" w:rsidP="00B8247A">
      <w:pPr>
        <w:rPr>
          <w:rFonts w:ascii="Cambria" w:hAnsi="Cambria"/>
        </w:rPr>
      </w:pPr>
    </w:p>
    <w:p w14:paraId="12ED78FD" w14:textId="308A9E11" w:rsidR="007475A1" w:rsidRPr="008D3E84" w:rsidRDefault="00EF35BB" w:rsidP="00B8247A">
      <w:pPr>
        <w:rPr>
          <w:rFonts w:ascii="Cambria" w:hAnsi="Cambria"/>
        </w:rPr>
      </w:pPr>
      <w:r w:rsidRPr="008D3E84">
        <w:rPr>
          <w:rFonts w:ascii="Cambria" w:hAnsi="Cambria"/>
        </w:rPr>
        <w:t xml:space="preserve">Variables that begin with the prefix “x_” were </w:t>
      </w:r>
      <w:r w:rsidR="000A0841">
        <w:rPr>
          <w:rFonts w:ascii="Cambria" w:hAnsi="Cambria"/>
        </w:rPr>
        <w:t xml:space="preserve">not part of the original data, but were </w:t>
      </w:r>
      <w:r w:rsidRPr="008D3E84">
        <w:rPr>
          <w:rFonts w:ascii="Cambria" w:hAnsi="Cambria"/>
        </w:rPr>
        <w:t xml:space="preserve">constructed from </w:t>
      </w:r>
      <w:r w:rsidR="000A0841">
        <w:rPr>
          <w:rFonts w:ascii="Cambria" w:hAnsi="Cambria"/>
        </w:rPr>
        <w:t>other variables</w:t>
      </w:r>
      <w:r w:rsidRPr="008D3E84">
        <w:rPr>
          <w:rFonts w:ascii="Cambria" w:hAnsi="Cambria"/>
        </w:rPr>
        <w:t xml:space="preserve">, some of which are not included in the public data set (this is noted in the descriptions where applicable). All other variables are documented in the codebook (Appendix </w:t>
      </w:r>
      <w:r w:rsidR="00155A45" w:rsidRPr="008D3E84">
        <w:rPr>
          <w:rFonts w:ascii="Cambria" w:hAnsi="Cambria"/>
        </w:rPr>
        <w:t>D</w:t>
      </w:r>
      <w:r w:rsidRPr="008D3E84">
        <w:rPr>
          <w:rFonts w:ascii="Cambria" w:hAnsi="Cambria"/>
        </w:rPr>
        <w:t xml:space="preserve"> of the report) and are taken directly from the survey. </w:t>
      </w:r>
    </w:p>
    <w:p w14:paraId="1ED7B714" w14:textId="77777777" w:rsidR="006A60A6" w:rsidRPr="008D3E84" w:rsidRDefault="006A60A6" w:rsidP="00B8247A">
      <w:pPr>
        <w:rPr>
          <w:rFonts w:ascii="Cambria" w:hAnsi="Cambria"/>
        </w:rPr>
      </w:pPr>
    </w:p>
    <w:p w14:paraId="54972A85" w14:textId="183B9EB0" w:rsidR="006A60A6" w:rsidRPr="008D3E84" w:rsidRDefault="00155A45" w:rsidP="00B8247A">
      <w:pPr>
        <w:rPr>
          <w:rFonts w:ascii="Cambria" w:hAnsi="Cambria"/>
        </w:rPr>
      </w:pPr>
      <w:r w:rsidRPr="008D3E84">
        <w:rPr>
          <w:rFonts w:ascii="Cambria" w:hAnsi="Cambria"/>
        </w:rPr>
        <w:t xml:space="preserve">You can find the report and technical appendices at: </w:t>
      </w:r>
      <w:r w:rsidR="00AD49B0" w:rsidRPr="008D3E84">
        <w:rPr>
          <w:rFonts w:ascii="Cambria" w:hAnsi="Cambria"/>
        </w:rPr>
        <w:t>https://www.brandeis.edu/ssri/communitystudies/dcreport.html</w:t>
      </w:r>
    </w:p>
    <w:p w14:paraId="3B4746EB" w14:textId="77777777" w:rsidR="007475A1" w:rsidRPr="008D3E84" w:rsidRDefault="007475A1" w:rsidP="00B8247A">
      <w:pPr>
        <w:rPr>
          <w:rFonts w:ascii="Cambria" w:hAnsi="Cambria"/>
        </w:rPr>
      </w:pPr>
    </w:p>
    <w:p w14:paraId="398CB92E" w14:textId="7946C8E5" w:rsidR="00102F3B" w:rsidRPr="008D3E84" w:rsidRDefault="00102F3B" w:rsidP="00B8247A">
      <w:pPr>
        <w:rPr>
          <w:rFonts w:ascii="Cambria" w:hAnsi="Cambria"/>
          <w:b/>
        </w:rPr>
      </w:pPr>
      <w:r w:rsidRPr="008D3E84">
        <w:rPr>
          <w:rFonts w:ascii="Cambria" w:hAnsi="Cambria"/>
          <w:b/>
        </w:rPr>
        <w:t>About the Public Use Data Set</w:t>
      </w:r>
    </w:p>
    <w:p w14:paraId="66A8EADB" w14:textId="77777777" w:rsidR="00102F3B" w:rsidRPr="008D3E84" w:rsidRDefault="00102F3B" w:rsidP="00B8247A">
      <w:pPr>
        <w:rPr>
          <w:rFonts w:ascii="Cambria" w:hAnsi="Cambria"/>
        </w:rPr>
      </w:pPr>
    </w:p>
    <w:p w14:paraId="5686FDBA" w14:textId="24D8CD21" w:rsidR="007475A1" w:rsidRPr="008D3E84" w:rsidRDefault="003C37BE" w:rsidP="003C37BE">
      <w:pPr>
        <w:rPr>
          <w:rFonts w:ascii="Cambria" w:hAnsi="Cambria"/>
        </w:rPr>
      </w:pPr>
      <w:r w:rsidRPr="008D3E84">
        <w:rPr>
          <w:rFonts w:ascii="Cambria" w:hAnsi="Cambria"/>
        </w:rPr>
        <w:t xml:space="preserve">The Public Use Data Set contains all raw data provided by respondents except for data that might be used to identify individual respondents.  </w:t>
      </w:r>
      <w:r w:rsidR="007475A1" w:rsidRPr="008D3E84">
        <w:rPr>
          <w:rFonts w:ascii="Cambria" w:hAnsi="Cambria"/>
        </w:rPr>
        <w:t xml:space="preserve">Primarily, these removed variables were open-ended responses </w:t>
      </w:r>
      <w:r w:rsidR="00C35004" w:rsidRPr="008D3E84">
        <w:rPr>
          <w:rFonts w:ascii="Cambria" w:hAnsi="Cambria"/>
        </w:rPr>
        <w:t>and</w:t>
      </w:r>
      <w:r w:rsidR="007475A1" w:rsidRPr="008D3E84">
        <w:rPr>
          <w:rFonts w:ascii="Cambria" w:hAnsi="Cambria"/>
        </w:rPr>
        <w:t xml:space="preserve"> household ZIP codes.</w:t>
      </w:r>
    </w:p>
    <w:p w14:paraId="13C0B8F7" w14:textId="77777777" w:rsidR="007475A1" w:rsidRPr="008D3E84" w:rsidRDefault="007475A1" w:rsidP="007475A1">
      <w:pPr>
        <w:rPr>
          <w:rFonts w:ascii="Cambria" w:hAnsi="Cambria"/>
        </w:rPr>
      </w:pPr>
    </w:p>
    <w:p w14:paraId="50859AB8" w14:textId="6A9E52DD" w:rsidR="00EF35BB" w:rsidRPr="008D3E84" w:rsidRDefault="00EF35BB" w:rsidP="00B8247A">
      <w:pPr>
        <w:rPr>
          <w:rFonts w:ascii="Cambria" w:hAnsi="Cambria"/>
        </w:rPr>
      </w:pPr>
      <w:r w:rsidRPr="008D3E84">
        <w:rPr>
          <w:rFonts w:ascii="Cambria" w:hAnsi="Cambria"/>
        </w:rPr>
        <w:t>Descriptions of some variable naming conventions follow:</w:t>
      </w:r>
    </w:p>
    <w:p w14:paraId="76BB6119" w14:textId="5972B1F8" w:rsidR="000C073B" w:rsidRPr="008D3E84" w:rsidRDefault="00EF35BB" w:rsidP="00EF35BB">
      <w:pPr>
        <w:pStyle w:val="ListParagraph"/>
        <w:numPr>
          <w:ilvl w:val="0"/>
          <w:numId w:val="3"/>
        </w:numPr>
        <w:rPr>
          <w:rFonts w:ascii="Cambria" w:hAnsi="Cambria"/>
        </w:rPr>
      </w:pPr>
      <w:r w:rsidRPr="008D3E84">
        <w:rPr>
          <w:rFonts w:ascii="Cambria" w:hAnsi="Cambria"/>
        </w:rPr>
        <w:t>All variables with a “resp” in the name refer to the respondent (e.g., respage is the age of the respondent and x_resp</w:t>
      </w:r>
      <w:r w:rsidR="00AD49B0" w:rsidRPr="008D3E84">
        <w:rPr>
          <w:rFonts w:ascii="Cambria" w:hAnsi="Cambria"/>
        </w:rPr>
        <w:t>martype</w:t>
      </w:r>
      <w:r w:rsidRPr="008D3E84">
        <w:rPr>
          <w:rFonts w:ascii="Cambria" w:hAnsi="Cambria"/>
        </w:rPr>
        <w:t xml:space="preserve"> is the constructed variable noting </w:t>
      </w:r>
      <w:r w:rsidR="00AD49B0" w:rsidRPr="008D3E84">
        <w:rPr>
          <w:rFonts w:ascii="Cambria" w:hAnsi="Cambria"/>
        </w:rPr>
        <w:t>the marital status of the respondent</w:t>
      </w:r>
      <w:r w:rsidRPr="008D3E84">
        <w:rPr>
          <w:rFonts w:ascii="Cambria" w:hAnsi="Cambria"/>
        </w:rPr>
        <w:t xml:space="preserve">). </w:t>
      </w:r>
    </w:p>
    <w:p w14:paraId="56DDCBDD" w14:textId="6384A0E3" w:rsidR="00EF35BB" w:rsidRPr="008D3E84" w:rsidRDefault="00EF35BB" w:rsidP="00EF35BB">
      <w:pPr>
        <w:pStyle w:val="ListParagraph"/>
        <w:numPr>
          <w:ilvl w:val="0"/>
          <w:numId w:val="3"/>
        </w:numPr>
        <w:rPr>
          <w:rFonts w:ascii="Cambria" w:hAnsi="Cambria"/>
        </w:rPr>
      </w:pPr>
      <w:r w:rsidRPr="008D3E84">
        <w:rPr>
          <w:rFonts w:ascii="Cambria" w:hAnsi="Cambria"/>
        </w:rPr>
        <w:t>Variables with a “hhad” prefix refer to non-respondent adults in the household; these variables range from 2-9 because the respondent is considered as the first adult</w:t>
      </w:r>
      <w:r w:rsidR="007475A1" w:rsidRPr="008D3E84">
        <w:rPr>
          <w:rFonts w:ascii="Cambria" w:hAnsi="Cambria"/>
        </w:rPr>
        <w:t xml:space="preserve"> (e.g., hhadage3 is the age of the third adult in the household)</w:t>
      </w:r>
      <w:r w:rsidRPr="008D3E84">
        <w:rPr>
          <w:rFonts w:ascii="Cambria" w:hAnsi="Cambria"/>
        </w:rPr>
        <w:t>.</w:t>
      </w:r>
    </w:p>
    <w:p w14:paraId="5C5AEC5C" w14:textId="66757894" w:rsidR="00AD49B0" w:rsidRPr="004736B1" w:rsidRDefault="00EF35BB" w:rsidP="00B8247A">
      <w:pPr>
        <w:pStyle w:val="ListParagraph"/>
        <w:numPr>
          <w:ilvl w:val="0"/>
          <w:numId w:val="3"/>
        </w:numPr>
        <w:rPr>
          <w:rFonts w:ascii="Cambria" w:hAnsi="Cambria"/>
        </w:rPr>
      </w:pPr>
      <w:r w:rsidRPr="008D3E84">
        <w:rPr>
          <w:rFonts w:ascii="Cambria" w:hAnsi="Cambria"/>
        </w:rPr>
        <w:t>Variables with a “hhch” prefix refer to the children in the household; these range from 1-</w:t>
      </w:r>
      <w:r w:rsidR="00AD49B0" w:rsidRPr="008D3E84">
        <w:rPr>
          <w:rFonts w:ascii="Cambria" w:hAnsi="Cambria"/>
        </w:rPr>
        <w:t>6</w:t>
      </w:r>
      <w:r w:rsidR="007475A1" w:rsidRPr="008D3E84">
        <w:rPr>
          <w:rFonts w:ascii="Cambria" w:hAnsi="Cambria"/>
        </w:rPr>
        <w:t xml:space="preserve"> (e.g., hhchgrd1 is the grade-level of the first child in the household)</w:t>
      </w:r>
      <w:r w:rsidRPr="008D3E84">
        <w:rPr>
          <w:rFonts w:ascii="Cambria" w:hAnsi="Cambria"/>
        </w:rPr>
        <w:t>.</w:t>
      </w:r>
    </w:p>
    <w:p w14:paraId="520D0928" w14:textId="77777777" w:rsidR="00AD49B0" w:rsidRPr="008D3E84" w:rsidRDefault="00AD49B0" w:rsidP="00B8247A">
      <w:pPr>
        <w:rPr>
          <w:rFonts w:ascii="Cambria" w:hAnsi="Cambria"/>
          <w:b/>
        </w:rPr>
      </w:pPr>
    </w:p>
    <w:p w14:paraId="42403294" w14:textId="114A992C" w:rsidR="00D55BF1" w:rsidRPr="008D3E84" w:rsidRDefault="00D55BF1" w:rsidP="00B8247A">
      <w:pPr>
        <w:rPr>
          <w:rFonts w:ascii="Cambria" w:hAnsi="Cambria"/>
        </w:rPr>
      </w:pPr>
      <w:r w:rsidRPr="008D3E84">
        <w:rPr>
          <w:rFonts w:ascii="Cambria" w:hAnsi="Cambria"/>
          <w:i/>
        </w:rPr>
        <w:t xml:space="preserve">Potential Issues with Data Interpretation </w:t>
      </w:r>
    </w:p>
    <w:p w14:paraId="19A0C9E8" w14:textId="77777777" w:rsidR="00D55BF1" w:rsidRPr="008D3E84" w:rsidRDefault="00D55BF1" w:rsidP="00B8247A">
      <w:pPr>
        <w:rPr>
          <w:rFonts w:ascii="Cambria" w:hAnsi="Cambria"/>
        </w:rPr>
      </w:pPr>
    </w:p>
    <w:p w14:paraId="75E2E4F4" w14:textId="57D1F75A" w:rsidR="00D55BF1" w:rsidRPr="008D3E84" w:rsidRDefault="00D55BF1" w:rsidP="00B8247A">
      <w:pPr>
        <w:rPr>
          <w:rFonts w:ascii="Cambria" w:hAnsi="Cambria"/>
        </w:rPr>
      </w:pPr>
      <w:r w:rsidRPr="008D3E84">
        <w:rPr>
          <w:rFonts w:ascii="Cambria" w:hAnsi="Cambria"/>
        </w:rPr>
        <w:t xml:space="preserve">CMJS as a rule maintained the integrity of the data as collected. As such, two potential issues warrant caution. First, due to programming conventions, both refusals </w:t>
      </w:r>
      <w:r w:rsidR="00AD49B0" w:rsidRPr="008D3E84">
        <w:rPr>
          <w:rFonts w:ascii="Cambria" w:hAnsi="Cambria"/>
        </w:rPr>
        <w:t>and “don’t know” responses are in many cases coded together with the code “999.” Responses</w:t>
      </w:r>
      <w:r w:rsidRPr="008D3E84">
        <w:rPr>
          <w:rFonts w:ascii="Cambria" w:hAnsi="Cambria"/>
        </w:rPr>
        <w:t xml:space="preserve"> skipped through survey logic</w:t>
      </w:r>
      <w:r w:rsidR="00AD49B0" w:rsidRPr="008D3E84">
        <w:rPr>
          <w:rFonts w:ascii="Cambria" w:hAnsi="Cambria"/>
        </w:rPr>
        <w:t xml:space="preserve"> and individually skipped items</w:t>
      </w:r>
      <w:r w:rsidRPr="008D3E84">
        <w:rPr>
          <w:rFonts w:ascii="Cambria" w:hAnsi="Cambria"/>
        </w:rPr>
        <w:t xml:space="preserve"> are coded the same way, as system missing</w:t>
      </w:r>
      <w:r w:rsidR="000A0841">
        <w:rPr>
          <w:rFonts w:ascii="Cambria" w:hAnsi="Cambria"/>
        </w:rPr>
        <w:t xml:space="preserve"> (. </w:t>
      </w:r>
      <w:r w:rsidR="00441870">
        <w:rPr>
          <w:rFonts w:ascii="Cambria" w:hAnsi="Cambria"/>
        </w:rPr>
        <w:t>i</w:t>
      </w:r>
      <w:r w:rsidR="000A0841">
        <w:rPr>
          <w:rFonts w:ascii="Cambria" w:hAnsi="Cambria"/>
        </w:rPr>
        <w:t>n Stata)</w:t>
      </w:r>
      <w:r w:rsidR="00AD49B0" w:rsidRPr="008D3E84">
        <w:rPr>
          <w:rFonts w:ascii="Cambria" w:hAnsi="Cambria"/>
        </w:rPr>
        <w:t xml:space="preserve">. </w:t>
      </w:r>
      <w:r w:rsidRPr="008D3E84">
        <w:rPr>
          <w:rFonts w:ascii="Cambria" w:hAnsi="Cambria"/>
        </w:rPr>
        <w:t xml:space="preserve">Second, there are cases where respondents answered a question and its follow-up before seemingly backtracking and changing the original response, which would </w:t>
      </w:r>
      <w:r w:rsidRPr="008D3E84">
        <w:rPr>
          <w:rFonts w:ascii="Cambria" w:hAnsi="Cambria"/>
        </w:rPr>
        <w:lastRenderedPageBreak/>
        <w:t>otherwise render the follow-up response invalid. Such overwritten responses remain in the data set.</w:t>
      </w:r>
      <w:r w:rsidR="00AD49B0" w:rsidRPr="008D3E84">
        <w:rPr>
          <w:rFonts w:ascii="Cambria" w:hAnsi="Cambria"/>
        </w:rPr>
        <w:t xml:space="preserve"> </w:t>
      </w:r>
    </w:p>
    <w:p w14:paraId="3CAE7E43" w14:textId="77777777" w:rsidR="00D55BF1" w:rsidRPr="008D3E84" w:rsidRDefault="00D55BF1" w:rsidP="00B8247A">
      <w:pPr>
        <w:rPr>
          <w:rFonts w:ascii="Cambria" w:hAnsi="Cambria"/>
        </w:rPr>
      </w:pPr>
    </w:p>
    <w:p w14:paraId="14AEA5F5" w14:textId="033BDE66" w:rsidR="00D55BF1" w:rsidRPr="008D3E84" w:rsidRDefault="00D55BF1" w:rsidP="00B8247A">
      <w:pPr>
        <w:rPr>
          <w:rFonts w:ascii="Cambria" w:hAnsi="Cambria"/>
        </w:rPr>
      </w:pPr>
      <w:r w:rsidRPr="008D3E84">
        <w:rPr>
          <w:rFonts w:ascii="Cambria" w:hAnsi="Cambria"/>
        </w:rPr>
        <w:t>It is up to the analyst’s own interpretation as to how to account for the</w:t>
      </w:r>
      <w:r w:rsidR="00B23560" w:rsidRPr="008D3E84">
        <w:rPr>
          <w:rFonts w:ascii="Cambria" w:hAnsi="Cambria"/>
        </w:rPr>
        <w:t>se</w:t>
      </w:r>
      <w:r w:rsidRPr="008D3E84">
        <w:rPr>
          <w:rFonts w:ascii="Cambria" w:hAnsi="Cambria"/>
        </w:rPr>
        <w:t xml:space="preserve"> </w:t>
      </w:r>
      <w:r w:rsidR="00B23560" w:rsidRPr="008D3E84">
        <w:rPr>
          <w:rFonts w:ascii="Cambria" w:hAnsi="Cambria"/>
        </w:rPr>
        <w:t>characteristics of the data set</w:t>
      </w:r>
      <w:r w:rsidRPr="008D3E84">
        <w:rPr>
          <w:rFonts w:ascii="Cambria" w:hAnsi="Cambria"/>
        </w:rPr>
        <w:t>.</w:t>
      </w:r>
    </w:p>
    <w:p w14:paraId="33E1307B" w14:textId="77777777" w:rsidR="00D55BF1" w:rsidRPr="008D3E84" w:rsidRDefault="00D55BF1" w:rsidP="00B8247A">
      <w:pPr>
        <w:rPr>
          <w:rFonts w:ascii="Cambria" w:hAnsi="Cambria"/>
          <w:b/>
        </w:rPr>
      </w:pPr>
    </w:p>
    <w:p w14:paraId="691A403F" w14:textId="77777777" w:rsidR="00B8247A" w:rsidRPr="008D3E84" w:rsidRDefault="00B8247A" w:rsidP="00B8247A">
      <w:pPr>
        <w:rPr>
          <w:rFonts w:ascii="Cambria" w:hAnsi="Cambria"/>
          <w:b/>
        </w:rPr>
      </w:pPr>
      <w:r w:rsidRPr="008D3E84">
        <w:rPr>
          <w:rFonts w:ascii="Cambria" w:hAnsi="Cambria"/>
          <w:b/>
        </w:rPr>
        <w:t>Definitions of Constructed Variables</w:t>
      </w:r>
      <w:r w:rsidR="00E83828" w:rsidRPr="008D3E84">
        <w:rPr>
          <w:rFonts w:ascii="Cambria" w:hAnsi="Cambria"/>
          <w:b/>
        </w:rPr>
        <w:t xml:space="preserve"> (x_ prefix)</w:t>
      </w:r>
    </w:p>
    <w:p w14:paraId="188B1E57" w14:textId="77777777" w:rsidR="003C37BE" w:rsidRPr="008D3E84" w:rsidRDefault="003C37BE" w:rsidP="00B8247A">
      <w:pPr>
        <w:rPr>
          <w:rFonts w:ascii="Cambria" w:hAnsi="Cambria"/>
          <w:b/>
        </w:rPr>
      </w:pPr>
    </w:p>
    <w:p w14:paraId="2C17C0AE" w14:textId="0D90824F" w:rsidR="003C37BE" w:rsidRPr="008D3E84" w:rsidRDefault="003C37BE" w:rsidP="00B8247A">
      <w:pPr>
        <w:rPr>
          <w:rFonts w:ascii="Cambria" w:hAnsi="Cambria"/>
          <w:bCs/>
        </w:rPr>
      </w:pPr>
      <w:r w:rsidRPr="008D3E84">
        <w:rPr>
          <w:rFonts w:ascii="Cambria" w:hAnsi="Cambria"/>
          <w:bCs/>
        </w:rPr>
        <w:t>Variables were constructed from raw data for two purposes:</w:t>
      </w:r>
    </w:p>
    <w:p w14:paraId="6E10977D" w14:textId="163173B7" w:rsidR="003C37BE" w:rsidRPr="008D3E84" w:rsidRDefault="003C37BE" w:rsidP="003C37BE">
      <w:pPr>
        <w:pStyle w:val="ListParagraph"/>
        <w:numPr>
          <w:ilvl w:val="0"/>
          <w:numId w:val="5"/>
        </w:numPr>
        <w:rPr>
          <w:rFonts w:ascii="Cambria" w:hAnsi="Cambria"/>
          <w:bCs/>
        </w:rPr>
      </w:pPr>
      <w:r w:rsidRPr="008D3E84">
        <w:rPr>
          <w:rFonts w:ascii="Cambria" w:hAnsi="Cambria"/>
          <w:bCs/>
        </w:rPr>
        <w:t>Standardized coding of open-ended data</w:t>
      </w:r>
    </w:p>
    <w:p w14:paraId="2F1FA9E6" w14:textId="7F8A9028" w:rsidR="00B8247A" w:rsidRPr="00CE50E3" w:rsidRDefault="003C37BE" w:rsidP="006C7007">
      <w:pPr>
        <w:pStyle w:val="ListParagraph"/>
        <w:numPr>
          <w:ilvl w:val="0"/>
          <w:numId w:val="5"/>
        </w:numPr>
        <w:rPr>
          <w:rFonts w:ascii="Cambria" w:hAnsi="Cambria"/>
        </w:rPr>
      </w:pPr>
      <w:r w:rsidRPr="00CE50E3">
        <w:rPr>
          <w:rFonts w:ascii="Cambria" w:hAnsi="Cambria"/>
          <w:bCs/>
        </w:rPr>
        <w:t xml:space="preserve">Analytical variables created through complex combinations of multiple raw variables. </w:t>
      </w:r>
    </w:p>
    <w:p w14:paraId="01C93D0E" w14:textId="77777777" w:rsidR="00CE50E3" w:rsidRPr="00CE50E3" w:rsidRDefault="00CE50E3" w:rsidP="00CE50E3">
      <w:pPr>
        <w:rPr>
          <w:rFonts w:ascii="Cambria" w:hAnsi="Cambria"/>
        </w:rPr>
      </w:pPr>
    </w:p>
    <w:p w14:paraId="26BC22C4" w14:textId="02976220" w:rsidR="00A34AE4" w:rsidRDefault="00A34AE4" w:rsidP="00A34AE4">
      <w:pPr>
        <w:rPr>
          <w:rFonts w:ascii="Cambria" w:hAnsi="Cambria"/>
          <w:color w:val="222222"/>
          <w:shd w:val="clear" w:color="auto" w:fill="FFFFFF"/>
        </w:rPr>
      </w:pPr>
      <w:r>
        <w:rPr>
          <w:rFonts w:ascii="Cambria" w:hAnsi="Cambria"/>
          <w:color w:val="222222"/>
          <w:shd w:val="clear" w:color="auto" w:fill="FFFFFF"/>
        </w:rPr>
        <w:t>x_surveystatus: Whether the respondent screened into the survey, screened out, or completed the recent mover survey (see below for more information on the movers).</w:t>
      </w:r>
    </w:p>
    <w:p w14:paraId="049C1A4E" w14:textId="77777777" w:rsidR="00A34AE4" w:rsidRDefault="00A34AE4" w:rsidP="00A34AE4">
      <w:pPr>
        <w:rPr>
          <w:rFonts w:ascii="Cambria" w:hAnsi="Cambria"/>
        </w:rPr>
      </w:pPr>
      <w:bookmarkStart w:id="0" w:name="_GoBack"/>
      <w:bookmarkEnd w:id="0"/>
    </w:p>
    <w:p w14:paraId="510A6C84" w14:textId="7A91EE76" w:rsidR="001E3D1D" w:rsidRPr="008D3E84" w:rsidRDefault="001E3D1D" w:rsidP="00B8247A">
      <w:pPr>
        <w:rPr>
          <w:rFonts w:ascii="Cambria" w:hAnsi="Cambria"/>
        </w:rPr>
      </w:pPr>
      <w:r w:rsidRPr="008D3E84">
        <w:rPr>
          <w:rFonts w:ascii="Cambria" w:hAnsi="Cambria"/>
        </w:rPr>
        <w:t>x_hhadct, x_hhchct, x_hhsize: The number of individuals living in households was recoded to match the number of people for whom information was provided; for example, when a respondent said she lived with four other adults but only provided information on three of them, x_hhadct was recoded as three.</w:t>
      </w:r>
    </w:p>
    <w:p w14:paraId="17F1D75A" w14:textId="77777777" w:rsidR="001E3D1D" w:rsidRPr="008D3E84" w:rsidRDefault="001E3D1D" w:rsidP="00B8247A">
      <w:pPr>
        <w:rPr>
          <w:rFonts w:ascii="Cambria" w:hAnsi="Cambria"/>
        </w:rPr>
      </w:pPr>
    </w:p>
    <w:p w14:paraId="1F0F28C2" w14:textId="005D4857" w:rsidR="0061481B" w:rsidRPr="008D3E84" w:rsidRDefault="00923F3C" w:rsidP="00D323A3">
      <w:pPr>
        <w:rPr>
          <w:rFonts w:ascii="Cambria" w:hAnsi="Cambria"/>
        </w:rPr>
      </w:pPr>
      <w:r w:rsidRPr="008D3E84">
        <w:rPr>
          <w:rFonts w:ascii="Cambria" w:hAnsi="Cambria"/>
        </w:rPr>
        <w:t>x_</w:t>
      </w:r>
      <w:r w:rsidR="00D323A3" w:rsidRPr="008D3E84">
        <w:rPr>
          <w:rFonts w:ascii="Cambria" w:hAnsi="Cambria"/>
        </w:rPr>
        <w:t>citycounty, x_region, x_state</w:t>
      </w:r>
      <w:r w:rsidRPr="008D3E84">
        <w:rPr>
          <w:rFonts w:ascii="Cambria" w:hAnsi="Cambria"/>
        </w:rPr>
        <w:t xml:space="preserve">: Respondents </w:t>
      </w:r>
      <w:r w:rsidR="00CF2952" w:rsidRPr="008D3E84">
        <w:rPr>
          <w:rFonts w:ascii="Cambria" w:hAnsi="Cambria"/>
        </w:rPr>
        <w:t>supplied</w:t>
      </w:r>
      <w:r w:rsidRPr="008D3E84">
        <w:rPr>
          <w:rFonts w:ascii="Cambria" w:hAnsi="Cambria"/>
        </w:rPr>
        <w:t xml:space="preserve"> the ZIP code of their primary residence in the Greater </w:t>
      </w:r>
      <w:r w:rsidR="00D323A3" w:rsidRPr="008D3E84">
        <w:rPr>
          <w:rFonts w:ascii="Cambria" w:hAnsi="Cambria"/>
        </w:rPr>
        <w:t>Washington, DC</w:t>
      </w:r>
      <w:r w:rsidRPr="008D3E84">
        <w:rPr>
          <w:rFonts w:ascii="Cambria" w:hAnsi="Cambria"/>
        </w:rPr>
        <w:t xml:space="preserve"> area. To protect their identities, this variable groups ZIP codes into </w:t>
      </w:r>
      <w:r w:rsidR="00D323A3" w:rsidRPr="008D3E84">
        <w:rPr>
          <w:rFonts w:ascii="Cambria" w:hAnsi="Cambria"/>
        </w:rPr>
        <w:t xml:space="preserve">municipal boundaries, as well as constructed </w:t>
      </w:r>
      <w:r w:rsidRPr="008D3E84">
        <w:rPr>
          <w:rFonts w:ascii="Cambria" w:hAnsi="Cambria"/>
        </w:rPr>
        <w:t xml:space="preserve">regions that make up the Greater </w:t>
      </w:r>
      <w:r w:rsidR="00D323A3" w:rsidRPr="008D3E84">
        <w:rPr>
          <w:rFonts w:ascii="Cambria" w:hAnsi="Cambria"/>
        </w:rPr>
        <w:t>Washington, DC</w:t>
      </w:r>
      <w:r w:rsidRPr="008D3E84">
        <w:rPr>
          <w:rFonts w:ascii="Cambria" w:hAnsi="Cambria"/>
        </w:rPr>
        <w:t xml:space="preserve"> area (detailed explanations of these regions can be found </w:t>
      </w:r>
      <w:r w:rsidR="00D323A3" w:rsidRPr="008D3E84">
        <w:rPr>
          <w:rFonts w:ascii="Cambria" w:hAnsi="Cambria"/>
        </w:rPr>
        <w:t>in Chapter 3</w:t>
      </w:r>
      <w:r w:rsidRPr="008D3E84">
        <w:rPr>
          <w:rFonts w:ascii="Cambria" w:hAnsi="Cambria"/>
        </w:rPr>
        <w:t xml:space="preserve"> of the report</w:t>
      </w:r>
      <w:r w:rsidR="00EE63C2" w:rsidRPr="008D3E84">
        <w:rPr>
          <w:rFonts w:ascii="Cambria" w:hAnsi="Cambria"/>
        </w:rPr>
        <w:t>)</w:t>
      </w:r>
      <w:r w:rsidRPr="008D3E84">
        <w:rPr>
          <w:rFonts w:ascii="Cambria" w:hAnsi="Cambria"/>
        </w:rPr>
        <w:t>.</w:t>
      </w:r>
      <w:r w:rsidR="0061481B" w:rsidRPr="008D3E84">
        <w:rPr>
          <w:rFonts w:ascii="Cambria" w:hAnsi="Cambria"/>
        </w:rPr>
        <w:t xml:space="preserve"> </w:t>
      </w:r>
    </w:p>
    <w:p w14:paraId="517ECAC3" w14:textId="77777777" w:rsidR="00FE3003" w:rsidRPr="008D3E84" w:rsidRDefault="00FE3003" w:rsidP="00D323A3">
      <w:pPr>
        <w:rPr>
          <w:rFonts w:ascii="Cambria" w:hAnsi="Cambria"/>
        </w:rPr>
      </w:pPr>
    </w:p>
    <w:p w14:paraId="083574E8" w14:textId="7852F9C1" w:rsidR="00FE3003" w:rsidRPr="008D3E84" w:rsidRDefault="00951FAF" w:rsidP="00D323A3">
      <w:pPr>
        <w:rPr>
          <w:rFonts w:ascii="Cambria" w:hAnsi="Cambria"/>
        </w:rPr>
      </w:pPr>
      <w:r w:rsidRPr="008D3E84">
        <w:rPr>
          <w:rFonts w:ascii="Cambria" w:hAnsi="Cambria"/>
        </w:rPr>
        <w:t xml:space="preserve">x_resprelig, x_hhadrelig2-9: </w:t>
      </w:r>
      <w:r w:rsidR="008876EB" w:rsidRPr="008D3E84">
        <w:rPr>
          <w:rFonts w:ascii="Cambria" w:hAnsi="Cambria"/>
        </w:rPr>
        <w:t>Open-ended responses based off the “other religion” response were recoded to an existing religion</w:t>
      </w:r>
      <w:r w:rsidR="000A0841">
        <w:rPr>
          <w:rFonts w:ascii="Cambria" w:hAnsi="Cambria"/>
        </w:rPr>
        <w:t xml:space="preserve"> whenever possible</w:t>
      </w:r>
      <w:r w:rsidR="008876EB" w:rsidRPr="008D3E84">
        <w:rPr>
          <w:rFonts w:ascii="Cambria" w:hAnsi="Cambria"/>
        </w:rPr>
        <w:t>.</w:t>
      </w:r>
    </w:p>
    <w:p w14:paraId="7665BB87" w14:textId="77777777" w:rsidR="008876EB" w:rsidRPr="008D3E84" w:rsidRDefault="008876EB" w:rsidP="00D323A3">
      <w:pPr>
        <w:rPr>
          <w:rFonts w:ascii="Cambria" w:hAnsi="Cambria"/>
        </w:rPr>
      </w:pPr>
    </w:p>
    <w:p w14:paraId="2207C690" w14:textId="2A1278A5" w:rsidR="008D3E84" w:rsidRPr="008D3E84" w:rsidRDefault="008D3E84" w:rsidP="008D3E84">
      <w:pPr>
        <w:rPr>
          <w:rFonts w:ascii="Cambria" w:hAnsi="Cambria"/>
        </w:rPr>
      </w:pPr>
      <w:r w:rsidRPr="008D3E84">
        <w:rPr>
          <w:rFonts w:ascii="Cambria" w:hAnsi="Cambria"/>
        </w:rPr>
        <w:t>x_respjewtype, x_hhadjewtype2-9: These variables denote the “type of Jew” corresponding to the respondent or the household adults. Jews by Religion (JBR) are those who say their religion is Jewish and have a Jewish background (i.e., a Jewish parent, was raised Jewish, or converted). Jews of No Religion (JNR) are atheists and agnostics who consider themselves Jewish aside from religion and have a Je</w:t>
      </w:r>
      <w:r w:rsidR="00CE50E3">
        <w:rPr>
          <w:rFonts w:ascii="Cambria" w:hAnsi="Cambria"/>
        </w:rPr>
        <w:t>wish background, or say their religion is both</w:t>
      </w:r>
      <w:r w:rsidRPr="008D3E84">
        <w:rPr>
          <w:rFonts w:ascii="Cambria" w:hAnsi="Cambria"/>
        </w:rPr>
        <w:t xml:space="preserve"> Jewish and atheist/agnostic, and have a Jewish background. Jews of Multiple Religions (JMR) either say they have two religions, one of which is Judaism, and have a Jewish background, or have another religion but consider themselves Jewish aside from religion, and have a Jewish background. Jewish Background (JB) say they have a religion other than Judaism, do not consider themselves Jewish aside from religion, but have a Jewish background. Jewish Affinity (JA) consider themselves Jewish either by religion or not by religion, but do not have a Jewish background. Non-Jews (NJ) have a religion other than Judaism, do not consider themselves Jewish in any way, and do not have a Jewish background. Messianic Jews with a Jewish background were categorized as JB, and those without a Jewish background were categorized as NJ.</w:t>
      </w:r>
    </w:p>
    <w:p w14:paraId="153EE98A" w14:textId="77777777" w:rsidR="008D3E84" w:rsidRPr="008D3E84" w:rsidRDefault="008D3E84" w:rsidP="008D3E84">
      <w:pPr>
        <w:rPr>
          <w:rFonts w:ascii="Cambria" w:hAnsi="Cambria"/>
        </w:rPr>
      </w:pPr>
    </w:p>
    <w:p w14:paraId="62875B2B" w14:textId="77777777" w:rsidR="008D3E84" w:rsidRPr="008D3E84" w:rsidRDefault="008D3E84" w:rsidP="008D3E84">
      <w:pPr>
        <w:rPr>
          <w:rFonts w:ascii="Cambria" w:hAnsi="Cambria"/>
        </w:rPr>
      </w:pPr>
      <w:r w:rsidRPr="008D3E84">
        <w:rPr>
          <w:rFonts w:ascii="Cambria" w:hAnsi="Cambria"/>
        </w:rPr>
        <w:t xml:space="preserve">x_respjewish; x_hhadjewish2-9: Jewish adults are JBR, JNR, or JMR. </w:t>
      </w:r>
    </w:p>
    <w:p w14:paraId="7B8E9C8F" w14:textId="5D25225D" w:rsidR="008876EB" w:rsidRPr="008D3E84" w:rsidRDefault="008876EB" w:rsidP="00D323A3">
      <w:pPr>
        <w:rPr>
          <w:rFonts w:ascii="Cambria" w:hAnsi="Cambria"/>
        </w:rPr>
      </w:pPr>
      <w:r w:rsidRPr="008D3E84">
        <w:rPr>
          <w:rFonts w:ascii="Cambria" w:hAnsi="Cambria"/>
        </w:rPr>
        <w:lastRenderedPageBreak/>
        <w:t xml:space="preserve">x_respdenom, x_hhaddenom2-9: Open-ended responses </w:t>
      </w:r>
      <w:r w:rsidR="000A0841">
        <w:rPr>
          <w:rFonts w:ascii="Cambria" w:hAnsi="Cambria"/>
        </w:rPr>
        <w:t>given as</w:t>
      </w:r>
      <w:r w:rsidRPr="008D3E84">
        <w:rPr>
          <w:rFonts w:ascii="Cambria" w:hAnsi="Cambria"/>
        </w:rPr>
        <w:t xml:space="preserve"> the “other denomination” response option were recoded to an existing </w:t>
      </w:r>
      <w:r w:rsidR="000A0841">
        <w:rPr>
          <w:rFonts w:ascii="Cambria" w:hAnsi="Cambria"/>
        </w:rPr>
        <w:t>or a</w:t>
      </w:r>
      <w:r w:rsidRPr="008D3E84">
        <w:rPr>
          <w:rFonts w:ascii="Cambria" w:hAnsi="Cambria"/>
        </w:rPr>
        <w:t xml:space="preserve"> new</w:t>
      </w:r>
      <w:r w:rsidR="008D3E84" w:rsidRPr="008D3E84">
        <w:rPr>
          <w:rFonts w:ascii="Cambria" w:hAnsi="Cambria"/>
        </w:rPr>
        <w:t>ly grouped denomination</w:t>
      </w:r>
      <w:r w:rsidR="00A77567">
        <w:rPr>
          <w:rFonts w:ascii="Cambria" w:hAnsi="Cambria"/>
        </w:rPr>
        <w:t xml:space="preserve"> wherever possible</w:t>
      </w:r>
      <w:r w:rsidR="00CE50E3">
        <w:rPr>
          <w:rFonts w:ascii="Cambria" w:hAnsi="Cambria"/>
        </w:rPr>
        <w:t>.</w:t>
      </w:r>
    </w:p>
    <w:p w14:paraId="7B3A86F8" w14:textId="77777777" w:rsidR="00951FAF" w:rsidRPr="008D3E84" w:rsidRDefault="00951FAF" w:rsidP="00D323A3">
      <w:pPr>
        <w:rPr>
          <w:rFonts w:ascii="Cambria" w:hAnsi="Cambria"/>
        </w:rPr>
      </w:pPr>
    </w:p>
    <w:p w14:paraId="517C95A8" w14:textId="08022644" w:rsidR="00923F3C" w:rsidRPr="008D3E84" w:rsidRDefault="001D7D32" w:rsidP="00B8247A">
      <w:pPr>
        <w:rPr>
          <w:rFonts w:ascii="Cambria" w:hAnsi="Cambria"/>
        </w:rPr>
      </w:pPr>
      <w:r w:rsidRPr="008D3E84">
        <w:rPr>
          <w:rFonts w:ascii="Cambria" w:hAnsi="Cambria"/>
        </w:rPr>
        <w:t>x_hhchrelrsd1-</w:t>
      </w:r>
      <w:r w:rsidR="00951FAF" w:rsidRPr="008D3E84">
        <w:rPr>
          <w:rFonts w:ascii="Cambria" w:hAnsi="Cambria"/>
        </w:rPr>
        <w:t>6</w:t>
      </w:r>
      <w:r w:rsidR="00923F3C" w:rsidRPr="008D3E84">
        <w:rPr>
          <w:rFonts w:ascii="Cambria" w:hAnsi="Cambria"/>
        </w:rPr>
        <w:t xml:space="preserve">: </w:t>
      </w:r>
      <w:r w:rsidR="00E3215C" w:rsidRPr="008D3E84">
        <w:rPr>
          <w:rFonts w:ascii="Cambria" w:hAnsi="Cambria"/>
        </w:rPr>
        <w:t>In the original survey, after identifying the religion in which the first child is being raised, respondents were asked if all children are being raised in the same religion</w:t>
      </w:r>
      <w:r w:rsidR="00585473" w:rsidRPr="008D3E84">
        <w:rPr>
          <w:rFonts w:ascii="Cambria" w:hAnsi="Cambria"/>
        </w:rPr>
        <w:t xml:space="preserve"> (see variable hhchrelsame)</w:t>
      </w:r>
      <w:r w:rsidR="00E3215C" w:rsidRPr="008D3E84">
        <w:rPr>
          <w:rFonts w:ascii="Cambria" w:hAnsi="Cambria"/>
        </w:rPr>
        <w:t>. These variables fill in the responses for children 2-</w:t>
      </w:r>
      <w:r w:rsidR="00951FAF" w:rsidRPr="008D3E84">
        <w:rPr>
          <w:rFonts w:ascii="Cambria" w:hAnsi="Cambria"/>
        </w:rPr>
        <w:t>6</w:t>
      </w:r>
      <w:r w:rsidR="00E3215C" w:rsidRPr="008D3E84">
        <w:rPr>
          <w:rFonts w:ascii="Cambria" w:hAnsi="Cambria"/>
        </w:rPr>
        <w:t xml:space="preserve"> who have the same religion as child 1.</w:t>
      </w:r>
    </w:p>
    <w:p w14:paraId="1BD61ED2" w14:textId="77777777" w:rsidR="008D3E84" w:rsidRPr="008D3E84" w:rsidRDefault="008D3E84" w:rsidP="00B8247A">
      <w:pPr>
        <w:rPr>
          <w:rFonts w:ascii="Cambria" w:hAnsi="Cambria"/>
        </w:rPr>
      </w:pPr>
    </w:p>
    <w:p w14:paraId="006917B1" w14:textId="05A57F45" w:rsidR="008D3E84" w:rsidRPr="008D3E84" w:rsidRDefault="008D3E84" w:rsidP="00B8247A">
      <w:pPr>
        <w:rPr>
          <w:rFonts w:ascii="Cambria" w:hAnsi="Cambria"/>
        </w:rPr>
      </w:pPr>
      <w:r w:rsidRPr="008D3E84">
        <w:rPr>
          <w:rFonts w:ascii="Cambria" w:hAnsi="Cambria"/>
        </w:rPr>
        <w:t>x_hhchjew1-6: Children are counted as Jews if they are being raised Jewish by religion, culturally Jewish, or Jewish and another religion (corresponding to the variables x_hhchrelrsd1-6).</w:t>
      </w:r>
    </w:p>
    <w:p w14:paraId="6B243A79" w14:textId="77777777" w:rsidR="00AD651B" w:rsidRPr="008D3E84" w:rsidRDefault="00AD651B" w:rsidP="00B8247A">
      <w:pPr>
        <w:rPr>
          <w:rFonts w:ascii="Cambria" w:hAnsi="Cambria"/>
        </w:rPr>
      </w:pPr>
    </w:p>
    <w:p w14:paraId="5A6018D0" w14:textId="527F0354" w:rsidR="005B60C0" w:rsidRPr="008D3E84" w:rsidRDefault="00951FAF" w:rsidP="00B8247A">
      <w:pPr>
        <w:rPr>
          <w:rFonts w:ascii="Cambria" w:hAnsi="Cambria"/>
        </w:rPr>
      </w:pPr>
      <w:r w:rsidRPr="008D3E84">
        <w:rPr>
          <w:rFonts w:ascii="Cambria" w:hAnsi="Cambria"/>
        </w:rPr>
        <w:t>x_yaactivity_adas: Due to a programm</w:t>
      </w:r>
      <w:r w:rsidR="00A77567">
        <w:rPr>
          <w:rFonts w:ascii="Cambria" w:hAnsi="Cambria"/>
        </w:rPr>
        <w:t>ing</w:t>
      </w:r>
      <w:r w:rsidRPr="008D3E84">
        <w:rPr>
          <w:rFonts w:ascii="Cambria" w:hAnsi="Cambria"/>
        </w:rPr>
        <w:t xml:space="preserve"> error, not all eligible respondents eligible were asked yaactivity_adas; </w:t>
      </w:r>
      <w:r w:rsidR="008876EB" w:rsidRPr="008D3E84">
        <w:rPr>
          <w:rFonts w:ascii="Cambria" w:hAnsi="Cambria"/>
        </w:rPr>
        <w:t xml:space="preserve">open-ended responses based </w:t>
      </w:r>
      <w:r w:rsidR="00A77567">
        <w:rPr>
          <w:rFonts w:ascii="Cambria" w:hAnsi="Cambria"/>
        </w:rPr>
        <w:t>on responses to</w:t>
      </w:r>
      <w:r w:rsidR="008876EB" w:rsidRPr="008D3E84">
        <w:rPr>
          <w:rFonts w:ascii="Cambria" w:hAnsi="Cambria"/>
        </w:rPr>
        <w:t xml:space="preserve"> of yaactivity_oth were recoded to this variable.</w:t>
      </w:r>
    </w:p>
    <w:p w14:paraId="26192AFF" w14:textId="77777777" w:rsidR="00E3215C" w:rsidRPr="008D3E84" w:rsidRDefault="00E3215C" w:rsidP="00B8247A">
      <w:pPr>
        <w:rPr>
          <w:rFonts w:ascii="Cambria" w:hAnsi="Cambria"/>
        </w:rPr>
      </w:pPr>
    </w:p>
    <w:p w14:paraId="702D8E26" w14:textId="50ED9B15" w:rsidR="00205857" w:rsidRPr="008D3E84" w:rsidRDefault="00923F3C" w:rsidP="00B8247A">
      <w:pPr>
        <w:rPr>
          <w:rFonts w:ascii="Cambria" w:hAnsi="Cambria"/>
        </w:rPr>
      </w:pPr>
      <w:r w:rsidRPr="008D3E84">
        <w:rPr>
          <w:rFonts w:ascii="Cambria" w:hAnsi="Cambria"/>
        </w:rPr>
        <w:t xml:space="preserve">x_rlsyntype1-5: </w:t>
      </w:r>
      <w:r w:rsidR="00205857" w:rsidRPr="008D3E84">
        <w:rPr>
          <w:rFonts w:ascii="Cambria" w:hAnsi="Cambria"/>
        </w:rPr>
        <w:t xml:space="preserve">A recoding of the synagogue </w:t>
      </w:r>
      <w:r w:rsidR="00A77567">
        <w:rPr>
          <w:rFonts w:ascii="Cambria" w:hAnsi="Cambria"/>
        </w:rPr>
        <w:t>names (up to 5) that</w:t>
      </w:r>
      <w:r w:rsidR="00A77567" w:rsidRPr="008D3E84">
        <w:rPr>
          <w:rFonts w:ascii="Cambria" w:hAnsi="Cambria"/>
        </w:rPr>
        <w:t xml:space="preserve"> </w:t>
      </w:r>
      <w:r w:rsidR="00A77567">
        <w:rPr>
          <w:rFonts w:ascii="Cambria" w:hAnsi="Cambria"/>
        </w:rPr>
        <w:t>respondents</w:t>
      </w:r>
      <w:r w:rsidR="00EF35BB" w:rsidRPr="008D3E84">
        <w:rPr>
          <w:rFonts w:ascii="Cambria" w:hAnsi="Cambria"/>
        </w:rPr>
        <w:t xml:space="preserve"> belong to</w:t>
      </w:r>
      <w:r w:rsidR="00A77567">
        <w:rPr>
          <w:rFonts w:ascii="Cambria" w:hAnsi="Cambria"/>
        </w:rPr>
        <w:t>. The actual</w:t>
      </w:r>
      <w:r w:rsidR="00EF35BB" w:rsidRPr="008D3E84">
        <w:rPr>
          <w:rFonts w:ascii="Cambria" w:hAnsi="Cambria"/>
        </w:rPr>
        <w:t xml:space="preserve"> names were removed from the data set to protect identities</w:t>
      </w:r>
      <w:r w:rsidR="00A77567">
        <w:rPr>
          <w:rFonts w:ascii="Cambria" w:hAnsi="Cambria"/>
        </w:rPr>
        <w:t>.</w:t>
      </w:r>
      <w:r w:rsidR="00EF35BB" w:rsidRPr="008D3E84">
        <w:rPr>
          <w:rFonts w:ascii="Cambria" w:hAnsi="Cambria"/>
        </w:rPr>
        <w:t xml:space="preserve"> </w:t>
      </w:r>
      <w:r w:rsidR="00205857" w:rsidRPr="008D3E84">
        <w:rPr>
          <w:rFonts w:ascii="Cambria" w:hAnsi="Cambria"/>
        </w:rPr>
        <w:t xml:space="preserve">Traditional, brick-and-mortar synagogues are </w:t>
      </w:r>
      <w:r w:rsidR="00585473" w:rsidRPr="008D3E84">
        <w:rPr>
          <w:rFonts w:ascii="Cambria" w:hAnsi="Cambria"/>
        </w:rPr>
        <w:t>separated</w:t>
      </w:r>
      <w:r w:rsidR="00205857" w:rsidRPr="008D3E84">
        <w:rPr>
          <w:rFonts w:ascii="Cambria" w:hAnsi="Cambria"/>
        </w:rPr>
        <w:t xml:space="preserve"> by denomination, while independent </w:t>
      </w:r>
      <w:r w:rsidR="00205857" w:rsidRPr="008D3E84">
        <w:rPr>
          <w:rFonts w:ascii="Cambria" w:hAnsi="Cambria"/>
          <w:i/>
        </w:rPr>
        <w:t>minyan</w:t>
      </w:r>
      <w:r w:rsidR="00585473" w:rsidRPr="008D3E84">
        <w:rPr>
          <w:rFonts w:ascii="Cambria" w:hAnsi="Cambria"/>
          <w:i/>
        </w:rPr>
        <w:t>im</w:t>
      </w:r>
      <w:r w:rsidR="008876EB" w:rsidRPr="008D3E84">
        <w:rPr>
          <w:rFonts w:ascii="Cambria" w:hAnsi="Cambria"/>
        </w:rPr>
        <w:t xml:space="preserve">, Chabad, and non-local or unknown congregations </w:t>
      </w:r>
      <w:r w:rsidR="00205857" w:rsidRPr="008D3E84">
        <w:rPr>
          <w:rFonts w:ascii="Cambria" w:hAnsi="Cambria"/>
        </w:rPr>
        <w:t>are listed separately</w:t>
      </w:r>
      <w:r w:rsidR="00585473" w:rsidRPr="008D3E84">
        <w:rPr>
          <w:rFonts w:ascii="Cambria" w:hAnsi="Cambria"/>
        </w:rPr>
        <w:t>, regardless of denomination</w:t>
      </w:r>
      <w:r w:rsidR="00205857" w:rsidRPr="008D3E84">
        <w:rPr>
          <w:rFonts w:ascii="Cambria" w:hAnsi="Cambria"/>
        </w:rPr>
        <w:t>.</w:t>
      </w:r>
    </w:p>
    <w:p w14:paraId="5EB60848" w14:textId="77777777" w:rsidR="00205857" w:rsidRPr="008D3E84" w:rsidRDefault="00205857" w:rsidP="00B8247A">
      <w:pPr>
        <w:rPr>
          <w:rFonts w:ascii="Cambria" w:hAnsi="Cambria"/>
        </w:rPr>
      </w:pPr>
    </w:p>
    <w:p w14:paraId="39103749" w14:textId="37772D53" w:rsidR="008D3E84" w:rsidRDefault="008D3E84" w:rsidP="00B8247A">
      <w:pPr>
        <w:rPr>
          <w:rFonts w:ascii="Cambria" w:hAnsi="Cambria"/>
        </w:rPr>
      </w:pPr>
      <w:r w:rsidRPr="008D3E84">
        <w:rPr>
          <w:rFonts w:ascii="Cambria" w:hAnsi="Cambria"/>
        </w:rPr>
        <w:t>x_rlholhigh: Those who did not attend services (see rlsynsvc) were coded as having not attended High Holy Day services.</w:t>
      </w:r>
    </w:p>
    <w:p w14:paraId="3C16D2FE" w14:textId="77777777" w:rsidR="00646427" w:rsidRDefault="00646427" w:rsidP="00B8247A">
      <w:pPr>
        <w:rPr>
          <w:rFonts w:ascii="Cambria" w:hAnsi="Cambria"/>
        </w:rPr>
      </w:pPr>
    </w:p>
    <w:p w14:paraId="52A92D71" w14:textId="36792CF7" w:rsidR="00646427" w:rsidRPr="008D3E84" w:rsidRDefault="00646427" w:rsidP="00B8247A">
      <w:pPr>
        <w:rPr>
          <w:rFonts w:ascii="Cambria" w:hAnsi="Cambria"/>
        </w:rPr>
      </w:pPr>
      <w:r>
        <w:rPr>
          <w:rFonts w:ascii="Cambria" w:hAnsi="Cambria"/>
        </w:rPr>
        <w:t>x_wcharanyamt: Categorized amount donated by respondents to charity in the past year, including no donations.</w:t>
      </w:r>
    </w:p>
    <w:p w14:paraId="72129C65" w14:textId="77777777" w:rsidR="008D3E84" w:rsidRPr="008D3E84" w:rsidRDefault="008D3E84" w:rsidP="00B8247A">
      <w:pPr>
        <w:rPr>
          <w:rFonts w:ascii="Cambria" w:hAnsi="Cambria"/>
        </w:rPr>
      </w:pPr>
    </w:p>
    <w:p w14:paraId="4F06C753" w14:textId="20F0C93C" w:rsidR="008D3E84" w:rsidRPr="008D3E84" w:rsidRDefault="008D3E84" w:rsidP="00B8247A">
      <w:pPr>
        <w:rPr>
          <w:rFonts w:ascii="Cambria" w:hAnsi="Cambria"/>
        </w:rPr>
      </w:pPr>
      <w:r w:rsidRPr="008D3E84">
        <w:rPr>
          <w:rFonts w:ascii="Cambria" w:hAnsi="Cambria"/>
        </w:rPr>
        <w:t xml:space="preserve">x_wwbaid, x_wbsave3month x_wbrent x_wbsave400 x_wbjewlife: Those indicating a standard of living as “Prosperous” or “Living very comfortably” (see wbstan) </w:t>
      </w:r>
      <w:r w:rsidR="00A77567">
        <w:rPr>
          <w:rFonts w:ascii="Cambria" w:hAnsi="Cambria"/>
        </w:rPr>
        <w:t>were not asked these questions, and in those cases,</w:t>
      </w:r>
      <w:r w:rsidR="00441870">
        <w:rPr>
          <w:rFonts w:ascii="Cambria" w:hAnsi="Cambria"/>
        </w:rPr>
        <w:t xml:space="preserve"> </w:t>
      </w:r>
      <w:r w:rsidRPr="008D3E84">
        <w:rPr>
          <w:rFonts w:ascii="Cambria" w:hAnsi="Cambria"/>
        </w:rPr>
        <w:t>they were recoded as not being in economic need.</w:t>
      </w:r>
    </w:p>
    <w:p w14:paraId="210FC524" w14:textId="77777777" w:rsidR="008D3E84" w:rsidRPr="008D3E84" w:rsidRDefault="008D3E84" w:rsidP="00B8247A">
      <w:pPr>
        <w:rPr>
          <w:rFonts w:ascii="Cambria" w:hAnsi="Cambria"/>
        </w:rPr>
      </w:pPr>
    </w:p>
    <w:p w14:paraId="750AB35E" w14:textId="6AC89355" w:rsidR="008D3E84" w:rsidRPr="008D3E84" w:rsidRDefault="008D3E84" w:rsidP="00B8247A">
      <w:pPr>
        <w:rPr>
          <w:rFonts w:ascii="Cambria" w:hAnsi="Cambria"/>
        </w:rPr>
      </w:pPr>
      <w:r w:rsidRPr="008D3E84">
        <w:rPr>
          <w:rFonts w:ascii="Cambria" w:hAnsi="Cambria"/>
        </w:rPr>
        <w:t>x_hhadjewct, x_hhchjewct, x_hhjewct: The number of Jewish adults, Jewish minor children, and total Jews in the household.</w:t>
      </w:r>
    </w:p>
    <w:p w14:paraId="3E25AE5B" w14:textId="77777777" w:rsidR="008D3E84" w:rsidRPr="008D3E84" w:rsidRDefault="008D3E84" w:rsidP="00B8247A">
      <w:pPr>
        <w:rPr>
          <w:rFonts w:ascii="Cambria" w:hAnsi="Cambria"/>
        </w:rPr>
      </w:pPr>
    </w:p>
    <w:p w14:paraId="60834EAC" w14:textId="46D4AAA5" w:rsidR="008D3E84" w:rsidRPr="008D3E84" w:rsidRDefault="008D3E84" w:rsidP="008D3E84">
      <w:pPr>
        <w:rPr>
          <w:rFonts w:ascii="Cambria" w:hAnsi="Cambria"/>
        </w:rPr>
      </w:pPr>
      <w:r w:rsidRPr="008D3E84">
        <w:rPr>
          <w:rFonts w:ascii="Cambria" w:hAnsi="Cambria"/>
        </w:rPr>
        <w:t>x_hhjewish: Jewish households contain at least one JBR, JNR, or JMR adult. There are 62 households that screened into the survey but do not contain any Jewish adults or children. These households include at least one person of Jewish Background or Jewish Affinity.</w:t>
      </w:r>
      <w:r w:rsidR="00A77567">
        <w:rPr>
          <w:rFonts w:ascii="Cambria" w:hAnsi="Cambria"/>
        </w:rPr>
        <w:t xml:space="preserve"> </w:t>
      </w:r>
    </w:p>
    <w:p w14:paraId="1A4191CE" w14:textId="77777777" w:rsidR="008D3E84" w:rsidRPr="008D3E84" w:rsidRDefault="008D3E84" w:rsidP="00B8247A">
      <w:pPr>
        <w:rPr>
          <w:rFonts w:ascii="Cambria" w:hAnsi="Cambria"/>
        </w:rPr>
      </w:pPr>
    </w:p>
    <w:p w14:paraId="5D9E2562" w14:textId="59594C7C" w:rsidR="00923F3C" w:rsidRPr="008D3E84" w:rsidRDefault="00923F3C" w:rsidP="00B8247A">
      <w:pPr>
        <w:rPr>
          <w:rFonts w:ascii="Cambria" w:hAnsi="Cambria"/>
        </w:rPr>
      </w:pPr>
      <w:r w:rsidRPr="008D3E84">
        <w:rPr>
          <w:rFonts w:ascii="Cambria" w:hAnsi="Cambria"/>
        </w:rPr>
        <w:t>x_</w:t>
      </w:r>
      <w:r w:rsidR="00951FAF" w:rsidRPr="008D3E84">
        <w:rPr>
          <w:rFonts w:ascii="Cambria" w:hAnsi="Cambria"/>
        </w:rPr>
        <w:t>hhmartype</w:t>
      </w:r>
      <w:r w:rsidRPr="008D3E84">
        <w:rPr>
          <w:rFonts w:ascii="Cambria" w:hAnsi="Cambria"/>
        </w:rPr>
        <w:t xml:space="preserve">: </w:t>
      </w:r>
      <w:r w:rsidR="001D7D32" w:rsidRPr="008D3E84">
        <w:rPr>
          <w:rFonts w:ascii="Cambria" w:hAnsi="Cambria"/>
        </w:rPr>
        <w:t>This notes if the household contains an inmarried or intermarried couple, or no couple</w:t>
      </w:r>
      <w:r w:rsidR="00C35004" w:rsidRPr="008D3E84">
        <w:rPr>
          <w:rFonts w:ascii="Cambria" w:hAnsi="Cambria"/>
        </w:rPr>
        <w:t xml:space="preserve"> (whether or not the respondent is part of the married couple)</w:t>
      </w:r>
      <w:r w:rsidR="001D7D32" w:rsidRPr="008D3E84">
        <w:rPr>
          <w:rFonts w:ascii="Cambria" w:hAnsi="Cambria"/>
        </w:rPr>
        <w:t>.</w:t>
      </w:r>
    </w:p>
    <w:p w14:paraId="769C4588" w14:textId="77777777" w:rsidR="00205857" w:rsidRPr="008D3E84" w:rsidRDefault="00205857" w:rsidP="00B8247A">
      <w:pPr>
        <w:rPr>
          <w:rFonts w:ascii="Cambria" w:hAnsi="Cambria"/>
        </w:rPr>
      </w:pPr>
    </w:p>
    <w:p w14:paraId="170D1A10" w14:textId="7395D1D6" w:rsidR="00923F3C" w:rsidRPr="008D3E84" w:rsidRDefault="00923F3C" w:rsidP="00B8247A">
      <w:pPr>
        <w:rPr>
          <w:rFonts w:ascii="Cambria" w:hAnsi="Cambria"/>
        </w:rPr>
      </w:pPr>
      <w:r w:rsidRPr="008D3E84">
        <w:rPr>
          <w:rFonts w:ascii="Cambria" w:hAnsi="Cambria"/>
        </w:rPr>
        <w:t>x_</w:t>
      </w:r>
      <w:r w:rsidR="00951FAF" w:rsidRPr="008D3E84">
        <w:rPr>
          <w:rFonts w:ascii="Cambria" w:hAnsi="Cambria"/>
        </w:rPr>
        <w:t>respmartype</w:t>
      </w:r>
      <w:r w:rsidRPr="008D3E84">
        <w:rPr>
          <w:rFonts w:ascii="Cambria" w:hAnsi="Cambria"/>
        </w:rPr>
        <w:t xml:space="preserve">: </w:t>
      </w:r>
      <w:r w:rsidR="001D7D32" w:rsidRPr="008D3E84">
        <w:rPr>
          <w:rFonts w:ascii="Cambria" w:hAnsi="Cambria"/>
        </w:rPr>
        <w:t>This notes if the respondent is inmarried, intermarried, or unmarried.</w:t>
      </w:r>
    </w:p>
    <w:p w14:paraId="6424712F" w14:textId="77777777" w:rsidR="00205857" w:rsidRPr="008D3E84" w:rsidRDefault="00205857" w:rsidP="00B8247A">
      <w:pPr>
        <w:rPr>
          <w:rFonts w:ascii="Cambria" w:hAnsi="Cambria"/>
        </w:rPr>
      </w:pPr>
    </w:p>
    <w:p w14:paraId="6CAD9C25" w14:textId="5B3DCE61" w:rsidR="00923F3C" w:rsidRPr="008D3E84" w:rsidRDefault="001D7D32" w:rsidP="00B8247A">
      <w:pPr>
        <w:rPr>
          <w:rFonts w:ascii="Cambria" w:hAnsi="Cambria"/>
        </w:rPr>
      </w:pPr>
      <w:r w:rsidRPr="008D3E84">
        <w:rPr>
          <w:rFonts w:ascii="Cambria" w:hAnsi="Cambria"/>
        </w:rPr>
        <w:lastRenderedPageBreak/>
        <w:t>x_</w:t>
      </w:r>
      <w:r w:rsidR="00951FAF" w:rsidRPr="008D3E84">
        <w:rPr>
          <w:rFonts w:ascii="Cambria" w:hAnsi="Cambria"/>
        </w:rPr>
        <w:t>dc</w:t>
      </w:r>
      <w:r w:rsidRPr="008D3E84">
        <w:rPr>
          <w:rFonts w:ascii="Cambria" w:hAnsi="Cambria"/>
        </w:rPr>
        <w:t xml:space="preserve">jengage: This is the pattern of engagement of the respondent (see Chapter </w:t>
      </w:r>
      <w:r w:rsidR="00951FAF" w:rsidRPr="008D3E84">
        <w:rPr>
          <w:rFonts w:ascii="Cambria" w:hAnsi="Cambria"/>
        </w:rPr>
        <w:t>4</w:t>
      </w:r>
      <w:r w:rsidRPr="008D3E84">
        <w:rPr>
          <w:rFonts w:ascii="Cambria" w:hAnsi="Cambria"/>
        </w:rPr>
        <w:t xml:space="preserve"> of the report).</w:t>
      </w:r>
    </w:p>
    <w:p w14:paraId="2BC92369" w14:textId="77777777" w:rsidR="008D3E84" w:rsidRPr="008D3E84" w:rsidRDefault="008D3E84" w:rsidP="00B8247A">
      <w:pPr>
        <w:rPr>
          <w:rFonts w:ascii="Cambria" w:hAnsi="Cambria"/>
        </w:rPr>
      </w:pPr>
    </w:p>
    <w:p w14:paraId="17C362B9" w14:textId="494376E7" w:rsidR="008D3E84" w:rsidRPr="008D3E84" w:rsidRDefault="008D3E84" w:rsidP="00B8247A">
      <w:pPr>
        <w:rPr>
          <w:rFonts w:ascii="Cambria" w:hAnsi="Cambria"/>
        </w:rPr>
      </w:pPr>
      <w:r w:rsidRPr="008D3E84">
        <w:rPr>
          <w:rFonts w:ascii="Cambria" w:hAnsi="Cambria"/>
        </w:rPr>
        <w:t xml:space="preserve">x_respagecat: </w:t>
      </w:r>
      <w:r w:rsidRPr="008D3E84">
        <w:rPr>
          <w:rFonts w:ascii="Cambria" w:eastAsia="Times New Roman" w:hAnsi="Cambria" w:cs="Times New Roman"/>
        </w:rPr>
        <w:t xml:space="preserve">Categories are based on the </w:t>
      </w:r>
      <w:r w:rsidR="00CE50E3">
        <w:rPr>
          <w:rFonts w:ascii="Cambria" w:eastAsia="Times New Roman" w:hAnsi="Cambria" w:cs="Times New Roman"/>
        </w:rPr>
        <w:t xml:space="preserve">age </w:t>
      </w:r>
      <w:r w:rsidRPr="008D3E84">
        <w:rPr>
          <w:rFonts w:ascii="Cambria" w:eastAsia="Times New Roman" w:hAnsi="Cambria" w:cs="Times New Roman"/>
        </w:rPr>
        <w:t>and parental status of the respondent for respondents between the ages of 22 and 64. All those 65 and older are grouped together, regardless of parent status. The respondents younger than 22 are excluded from the variable.</w:t>
      </w:r>
    </w:p>
    <w:p w14:paraId="10F4DA08" w14:textId="77777777" w:rsidR="008D3E84" w:rsidRPr="008D3E84" w:rsidRDefault="008D3E84" w:rsidP="00B8247A">
      <w:pPr>
        <w:rPr>
          <w:rFonts w:ascii="Cambria" w:hAnsi="Cambria"/>
        </w:rPr>
      </w:pPr>
    </w:p>
    <w:p w14:paraId="1417C3B3" w14:textId="529894FF" w:rsidR="008D3E84" w:rsidRPr="008D3E84" w:rsidRDefault="008D3E84" w:rsidP="008D3E84">
      <w:pPr>
        <w:rPr>
          <w:rFonts w:ascii="Cambria" w:eastAsia="Times New Roman" w:hAnsi="Cambria" w:cs="Times New Roman"/>
        </w:rPr>
      </w:pPr>
      <w:r w:rsidRPr="008D3E84">
        <w:rPr>
          <w:rFonts w:ascii="Cambria" w:hAnsi="Cambria"/>
        </w:rPr>
        <w:t xml:space="preserve">x_hhagecat: </w:t>
      </w:r>
      <w:r w:rsidRPr="008D3E84">
        <w:rPr>
          <w:rFonts w:ascii="Cambria" w:eastAsia="Times New Roman" w:hAnsi="Cambria" w:cs="Times New Roman"/>
        </w:rPr>
        <w:t xml:space="preserve">Categories </w:t>
      </w:r>
      <w:r w:rsidR="00A77567">
        <w:rPr>
          <w:rFonts w:ascii="Cambria" w:eastAsia="Times New Roman" w:hAnsi="Cambria" w:cs="Times New Roman"/>
        </w:rPr>
        <w:t xml:space="preserve">for reporting </w:t>
      </w:r>
      <w:r w:rsidRPr="008D3E84">
        <w:rPr>
          <w:rFonts w:ascii="Cambria" w:eastAsia="Times New Roman" w:hAnsi="Cambria" w:cs="Times New Roman"/>
        </w:rPr>
        <w:t xml:space="preserve">are based on the </w:t>
      </w:r>
      <w:r w:rsidR="00A77567">
        <w:rPr>
          <w:rFonts w:ascii="Cambria" w:eastAsia="Times New Roman" w:hAnsi="Cambria" w:cs="Times New Roman"/>
        </w:rPr>
        <w:t xml:space="preserve">combined </w:t>
      </w:r>
      <w:r w:rsidRPr="008D3E84">
        <w:rPr>
          <w:rFonts w:ascii="Cambria" w:eastAsia="Times New Roman" w:hAnsi="Cambria" w:cs="Times New Roman"/>
        </w:rPr>
        <w:t xml:space="preserve">ages of all adults in the household. If all adults are ages 22-39, households are classified as “young adults 22-39” households. If all adults are ages 65 and over, households are classified as “seniors 65+” households. If at least one adult is age 40-64, the household is classified as “adults 40-64” household. The few households that do not fit any of these categories are </w:t>
      </w:r>
      <w:r w:rsidR="00A77567">
        <w:rPr>
          <w:rFonts w:ascii="Cambria" w:eastAsia="Times New Roman" w:hAnsi="Cambria" w:cs="Times New Roman"/>
        </w:rPr>
        <w:t>coded as missing</w:t>
      </w:r>
      <w:r w:rsidRPr="008D3E84">
        <w:rPr>
          <w:rFonts w:ascii="Cambria" w:eastAsia="Times New Roman" w:hAnsi="Cambria" w:cs="Times New Roman"/>
        </w:rPr>
        <w:t xml:space="preserve"> (e.g. a household with a 20 and 70 year old would be </w:t>
      </w:r>
      <w:r w:rsidR="00A77567">
        <w:rPr>
          <w:rFonts w:ascii="Cambria" w:eastAsia="Times New Roman" w:hAnsi="Cambria" w:cs="Times New Roman"/>
        </w:rPr>
        <w:t>missing</w:t>
      </w:r>
      <w:r w:rsidRPr="008D3E84">
        <w:rPr>
          <w:rFonts w:ascii="Cambria" w:eastAsia="Times New Roman" w:hAnsi="Cambria" w:cs="Times New Roman"/>
        </w:rPr>
        <w:t>).</w:t>
      </w:r>
    </w:p>
    <w:p w14:paraId="5E602C9D" w14:textId="1C5D1ED4" w:rsidR="008D3E84" w:rsidRDefault="008D3E84" w:rsidP="00B8247A"/>
    <w:p w14:paraId="3B316506" w14:textId="34AD484C" w:rsidR="00800AD5" w:rsidRDefault="00B8247A" w:rsidP="00B8247A">
      <w:pPr>
        <w:rPr>
          <w:b/>
        </w:rPr>
      </w:pPr>
      <w:r w:rsidRPr="00B8247A">
        <w:rPr>
          <w:b/>
        </w:rPr>
        <w:t xml:space="preserve">Weighting </w:t>
      </w:r>
    </w:p>
    <w:p w14:paraId="42704652" w14:textId="782AEA7A" w:rsidR="00800AD5" w:rsidRDefault="00A76A09" w:rsidP="00B8247A">
      <w:r>
        <w:t>Three</w:t>
      </w:r>
      <w:r w:rsidR="00E43234">
        <w:t xml:space="preserve"> </w:t>
      </w:r>
      <w:r w:rsidR="00A77567">
        <w:t>sets of weights</w:t>
      </w:r>
      <w:r w:rsidR="00800AD5">
        <w:t xml:space="preserve"> are available for this dataset. </w:t>
      </w:r>
      <w:r w:rsidR="00A77567">
        <w:t xml:space="preserve">One set is </w:t>
      </w:r>
      <w:r w:rsidR="00E425BD">
        <w:t>at the household level (</w:t>
      </w:r>
      <w:r w:rsidR="002A226D">
        <w:t>x_</w:t>
      </w:r>
      <w:r w:rsidR="00E425BD">
        <w:t>wt</w:t>
      </w:r>
      <w:r w:rsidR="00A77567">
        <w:t>prim</w:t>
      </w:r>
      <w:r w:rsidR="00E425BD">
        <w:t xml:space="preserve">hh and </w:t>
      </w:r>
      <w:r w:rsidR="001206F1">
        <w:t>x_wtfullhh</w:t>
      </w:r>
      <w:r w:rsidR="00E425BD">
        <w:t xml:space="preserve">), and </w:t>
      </w:r>
      <w:r w:rsidR="00A77567">
        <w:t>one is</w:t>
      </w:r>
      <w:r w:rsidR="00E425BD">
        <w:t xml:space="preserve"> at the respondent level (</w:t>
      </w:r>
      <w:r w:rsidR="002A226D">
        <w:t>x_</w:t>
      </w:r>
      <w:r w:rsidR="00E425BD">
        <w:t>wt</w:t>
      </w:r>
      <w:r w:rsidR="00A77567">
        <w:t>prim</w:t>
      </w:r>
      <w:r w:rsidR="00E425BD">
        <w:t xml:space="preserve">resp and </w:t>
      </w:r>
      <w:r w:rsidR="001206F1">
        <w:t>x_wtfullresp</w:t>
      </w:r>
      <w:r w:rsidR="00E425BD">
        <w:t>).</w:t>
      </w:r>
      <w:r w:rsidR="00A77567">
        <w:t xml:space="preserve"> A third set is used </w:t>
      </w:r>
      <w:r w:rsidR="00E43234">
        <w:t xml:space="preserve">for recent mover variables only (x_wtprimmove and x_wtfullmove). </w:t>
      </w:r>
      <w:r w:rsidR="00E425BD">
        <w:t xml:space="preserve">Household-level weights should be used to calculate characteristics of the household, population counts, and anything involving children. Respondent-level weights should be used to calculate characteristics of respondents (e.g., behaviors and attitudes). </w:t>
      </w:r>
      <w:r w:rsidR="00A77567">
        <w:t>Young adult weights are respondent-level weights designed for estimates of young adult specific variables.</w:t>
      </w:r>
      <w:r w:rsidR="00E43234">
        <w:t xml:space="preserve"> Mover weights are household-level weights designed for estimates of those who recently moved away from Metro DC (all starting with “mv”).</w:t>
      </w:r>
    </w:p>
    <w:p w14:paraId="62B109A4" w14:textId="77777777" w:rsidR="00E425BD" w:rsidRDefault="00E425BD" w:rsidP="00B8247A"/>
    <w:p w14:paraId="6F712E8E" w14:textId="790F7E3F" w:rsidR="00E425BD" w:rsidRPr="000C073B" w:rsidRDefault="00E425BD" w:rsidP="00B8247A">
      <w:r>
        <w:t>The weight variables are also segmented by whether they refer to the primary sample (</w:t>
      </w:r>
      <w:r w:rsidR="002A226D">
        <w:t>x_</w:t>
      </w:r>
      <w:r>
        <w:t>wt</w:t>
      </w:r>
      <w:r w:rsidR="00A77567">
        <w:t>prim</w:t>
      </w:r>
      <w:r>
        <w:t>hh</w:t>
      </w:r>
      <w:r w:rsidR="00A77567">
        <w:t>,</w:t>
      </w:r>
      <w:r>
        <w:t xml:space="preserve"> </w:t>
      </w:r>
      <w:r w:rsidR="002A226D">
        <w:t>x_</w:t>
      </w:r>
      <w:r>
        <w:t>wt</w:t>
      </w:r>
      <w:r w:rsidR="00A77567">
        <w:t>prim</w:t>
      </w:r>
      <w:r>
        <w:t>resp</w:t>
      </w:r>
      <w:r w:rsidR="00A77567">
        <w:t xml:space="preserve">, </w:t>
      </w:r>
      <w:r w:rsidR="00E43234">
        <w:t>and x_wtprimmove</w:t>
      </w:r>
      <w:r>
        <w:t>) or the full sample (</w:t>
      </w:r>
      <w:r w:rsidR="001206F1">
        <w:t>x_wtfullhh</w:t>
      </w:r>
      <w:r w:rsidR="00A77567">
        <w:t>,</w:t>
      </w:r>
      <w:r>
        <w:t xml:space="preserve"> </w:t>
      </w:r>
      <w:r w:rsidR="001206F1">
        <w:t>x_wtfullresp</w:t>
      </w:r>
      <w:r w:rsidR="00A76A09">
        <w:t>,</w:t>
      </w:r>
      <w:r w:rsidR="00E43234">
        <w:t xml:space="preserve"> and x_wtfullmove</w:t>
      </w:r>
      <w:r>
        <w:t>). Primary weights are the only ones appropriate for generating counts or characteristics of the overall population. The full-sample weights are appropriate only for generating characteristics of subpopulations.</w:t>
      </w:r>
    </w:p>
    <w:p w14:paraId="43FCA74A" w14:textId="77777777" w:rsidR="00B8247A" w:rsidRDefault="00B8247A" w:rsidP="00B8247A"/>
    <w:p w14:paraId="54F1AC06" w14:textId="40360450" w:rsidR="00713299" w:rsidRDefault="00713299" w:rsidP="00B8247A">
      <w:r>
        <w:t>Note</w:t>
      </w:r>
      <w:r w:rsidR="00441870">
        <w:t>s</w:t>
      </w:r>
      <w:r>
        <w:t>: The public-use dataset includes all screener data, but households that screened out of the survey have all their weights set at 0.</w:t>
      </w:r>
      <w:r w:rsidR="00AD302D">
        <w:t xml:space="preserve"> </w:t>
      </w:r>
      <w:r w:rsidR="00441870">
        <w:t xml:space="preserve">Non-Jewish households </w:t>
      </w:r>
      <w:r w:rsidR="00E43234">
        <w:t xml:space="preserve">that screened into the survey </w:t>
      </w:r>
      <w:r w:rsidR="00441870">
        <w:t xml:space="preserve">(x_hhjewish = 0) </w:t>
      </w:r>
      <w:r w:rsidR="00E43234">
        <w:t>because they</w:t>
      </w:r>
      <w:r w:rsidR="00441870">
        <w:t xml:space="preserve"> include an adult categorized as Jewish Background or Jewish Affinity have household-level weights (x_wtprimhh, x_wtfullhh). </w:t>
      </w:r>
      <w:r w:rsidR="00AD302D">
        <w:t>Weighting instructions are designed for use with Stata.</w:t>
      </w:r>
    </w:p>
    <w:p w14:paraId="3755F8E5" w14:textId="77777777" w:rsidR="003C37BE" w:rsidRDefault="003C37BE" w:rsidP="00B8247A"/>
    <w:p w14:paraId="6E6F5879" w14:textId="77777777" w:rsidR="003C37BE" w:rsidRPr="00C50E1F" w:rsidRDefault="003C37BE" w:rsidP="003C37BE">
      <w:pPr>
        <w:rPr>
          <w:u w:val="single"/>
        </w:rPr>
      </w:pPr>
      <w:r w:rsidRPr="00C50E1F">
        <w:rPr>
          <w:u w:val="single"/>
        </w:rPr>
        <w:t>Constructed variables for weighting</w:t>
      </w:r>
    </w:p>
    <w:p w14:paraId="40A203AE" w14:textId="77777777" w:rsidR="003C37BE" w:rsidRDefault="003C37BE" w:rsidP="003C37BE">
      <w:r w:rsidDel="00E83828">
        <w:t xml:space="preserve"> </w:t>
      </w:r>
    </w:p>
    <w:p w14:paraId="0004B0D1" w14:textId="41261949" w:rsidR="001206F1" w:rsidRDefault="001206F1" w:rsidP="003C37BE">
      <w:r>
        <w:t>x_draw: If the respondent comes from the primary, supplementary, or RDD frames.</w:t>
      </w:r>
      <w:r w:rsidR="00A77567">
        <w:t xml:space="preserve"> Data from the RDD frame is used as part of the supplement.</w:t>
      </w:r>
    </w:p>
    <w:p w14:paraId="4CDADD90" w14:textId="77777777" w:rsidR="001206F1" w:rsidRDefault="001206F1" w:rsidP="003C37BE"/>
    <w:p w14:paraId="22740F71" w14:textId="4EFFF806" w:rsidR="003C37BE" w:rsidRDefault="002A226D" w:rsidP="003C37BE">
      <w:r>
        <w:t>x_</w:t>
      </w:r>
      <w:r w:rsidR="003C37BE">
        <w:t>s</w:t>
      </w:r>
      <w:r w:rsidR="008D3E84">
        <w:t>tratafull</w:t>
      </w:r>
      <w:r w:rsidR="00447D27">
        <w:t>: The strata identified</w:t>
      </w:r>
      <w:r w:rsidR="003C37BE">
        <w:t xml:space="preserve"> is used for weighting.</w:t>
      </w:r>
    </w:p>
    <w:p w14:paraId="598124BC" w14:textId="77777777" w:rsidR="003C37BE" w:rsidRDefault="003C37BE" w:rsidP="003C37BE"/>
    <w:p w14:paraId="4A6B3376" w14:textId="0E2AC315" w:rsidR="003C37BE" w:rsidRDefault="002A226D" w:rsidP="003C37BE">
      <w:r>
        <w:t>x_</w:t>
      </w:r>
      <w:r w:rsidR="003C37BE">
        <w:t>wt</w:t>
      </w:r>
      <w:r w:rsidR="008D3E84">
        <w:t>prim</w:t>
      </w:r>
      <w:r w:rsidR="003C37BE">
        <w:t>hh: The primary-sample household weight.</w:t>
      </w:r>
    </w:p>
    <w:p w14:paraId="0DA216AE" w14:textId="77777777" w:rsidR="003C37BE" w:rsidRDefault="003C37BE" w:rsidP="003C37BE"/>
    <w:p w14:paraId="1E4CB867" w14:textId="1CDDEE69" w:rsidR="003C37BE" w:rsidRDefault="002A226D" w:rsidP="003C37BE">
      <w:r>
        <w:t>x_</w:t>
      </w:r>
      <w:r w:rsidR="008D3E84">
        <w:t>wtfullhh</w:t>
      </w:r>
      <w:r w:rsidR="003C37BE">
        <w:t>: The full-sample household weight.</w:t>
      </w:r>
    </w:p>
    <w:p w14:paraId="004AFAD3" w14:textId="77777777" w:rsidR="003C37BE" w:rsidRDefault="003C37BE" w:rsidP="003C37BE"/>
    <w:p w14:paraId="578514FE" w14:textId="090FFA9B" w:rsidR="003C37BE" w:rsidRDefault="002A226D" w:rsidP="003C37BE">
      <w:r>
        <w:t>x_</w:t>
      </w:r>
      <w:r w:rsidR="003C37BE">
        <w:t>wt</w:t>
      </w:r>
      <w:r w:rsidR="008D3E84">
        <w:t>prim</w:t>
      </w:r>
      <w:r w:rsidR="003C37BE">
        <w:t>resp: The primary-sample respondent/individual weight.</w:t>
      </w:r>
    </w:p>
    <w:p w14:paraId="278331CA" w14:textId="77777777" w:rsidR="003C37BE" w:rsidRDefault="003C37BE" w:rsidP="003C37BE"/>
    <w:p w14:paraId="783A44D3" w14:textId="4065A87B" w:rsidR="003C37BE" w:rsidRDefault="002A226D" w:rsidP="00B8247A">
      <w:r>
        <w:t>x_</w:t>
      </w:r>
      <w:r w:rsidR="008D3E84">
        <w:t>wtfullresp</w:t>
      </w:r>
      <w:r w:rsidR="003C37BE">
        <w:t>: The full-sample respondent/individual weight.</w:t>
      </w:r>
    </w:p>
    <w:p w14:paraId="16FD4DD4" w14:textId="77777777" w:rsidR="008D3E84" w:rsidRDefault="008D3E84" w:rsidP="00B8247A"/>
    <w:p w14:paraId="677672B2" w14:textId="6B99BE1B" w:rsidR="00E43234" w:rsidRDefault="00E43234" w:rsidP="001206F1">
      <w:r>
        <w:t>x_wtprimmove: The primary-sample weight for mover-only variables (starting with “mv”).</w:t>
      </w:r>
    </w:p>
    <w:p w14:paraId="23BAA378" w14:textId="77777777" w:rsidR="00E43234" w:rsidRDefault="00E43234" w:rsidP="001206F1"/>
    <w:p w14:paraId="7C03E4AF" w14:textId="37038D05" w:rsidR="00E43234" w:rsidRDefault="00E43234" w:rsidP="001206F1">
      <w:r>
        <w:t>x_wtfullmove: The full-sample weight for mover-only variables (starting with “mv”).</w:t>
      </w:r>
    </w:p>
    <w:p w14:paraId="18799A8B" w14:textId="77777777" w:rsidR="001206F1" w:rsidRDefault="001206F1" w:rsidP="00713299">
      <w:pPr>
        <w:tabs>
          <w:tab w:val="left" w:pos="1720"/>
        </w:tabs>
      </w:pPr>
    </w:p>
    <w:p w14:paraId="5536F9D5" w14:textId="391B4801" w:rsidR="00713299" w:rsidRPr="00713299" w:rsidRDefault="00713299" w:rsidP="00713299">
      <w:pPr>
        <w:tabs>
          <w:tab w:val="left" w:pos="1720"/>
        </w:tabs>
      </w:pPr>
      <w:r>
        <w:rPr>
          <w:u w:val="single"/>
        </w:rPr>
        <w:t>Primary Weights</w:t>
      </w:r>
    </w:p>
    <w:p w14:paraId="56614948" w14:textId="10E69473" w:rsidR="00713299" w:rsidRDefault="00713299" w:rsidP="00713299">
      <w:pPr>
        <w:tabs>
          <w:tab w:val="left" w:pos="1720"/>
        </w:tabs>
      </w:pPr>
      <w:r>
        <w:tab/>
      </w:r>
    </w:p>
    <w:p w14:paraId="4EAA8DEF" w14:textId="77777777" w:rsidR="00B8247A" w:rsidRPr="00B8247A" w:rsidRDefault="00B8247A" w:rsidP="00B8247A">
      <w:pPr>
        <w:rPr>
          <w:i/>
        </w:rPr>
      </w:pPr>
      <w:r w:rsidRPr="00B8247A">
        <w:rPr>
          <w:i/>
        </w:rPr>
        <w:t>Use ONLY the primary sample for generating population counts</w:t>
      </w:r>
    </w:p>
    <w:p w14:paraId="0013F1AE" w14:textId="77777777" w:rsidR="00B8247A" w:rsidRDefault="00B8247A" w:rsidP="00B8247A"/>
    <w:p w14:paraId="09EC1EC4" w14:textId="116C129F" w:rsidR="00E425BD" w:rsidRDefault="00B8247A" w:rsidP="00E425BD">
      <w:r>
        <w:t>For househo</w:t>
      </w:r>
      <w:r w:rsidR="00817166">
        <w:t xml:space="preserve">ld estimates—estimations on the number </w:t>
      </w:r>
      <w:r>
        <w:t>of households</w:t>
      </w:r>
      <w:r w:rsidR="00817166">
        <w:t>—</w:t>
      </w:r>
      <w:r w:rsidR="00923F3C">
        <w:t>u</w:t>
      </w:r>
      <w:r>
        <w:t>se wt</w:t>
      </w:r>
      <w:r w:rsidR="001206F1">
        <w:t>prim</w:t>
      </w:r>
      <w:r>
        <w:t>hh to estima</w:t>
      </w:r>
      <w:r w:rsidR="00E425BD">
        <w:t xml:space="preserve">te the percentage of households. For estimations on </w:t>
      </w:r>
      <w:r w:rsidR="00817166">
        <w:t xml:space="preserve">the </w:t>
      </w:r>
      <w:r w:rsidR="00E425BD">
        <w:t xml:space="preserve">number of </w:t>
      </w:r>
      <w:r w:rsidR="00817166">
        <w:t>people</w:t>
      </w:r>
      <w:r w:rsidR="00E425BD">
        <w:t>—i.e., counts—use the household weights</w:t>
      </w:r>
      <w:r w:rsidR="00817166">
        <w:t xml:space="preserve"> </w:t>
      </w:r>
      <w:r w:rsidR="00E425BD">
        <w:t xml:space="preserve">with totals of count variables—e.g., </w:t>
      </w:r>
      <w:r w:rsidR="001206F1">
        <w:t>x_</w:t>
      </w:r>
      <w:r w:rsidR="00E425BD">
        <w:t xml:space="preserve">hhadct, </w:t>
      </w:r>
      <w:r w:rsidR="001206F1">
        <w:t>x_</w:t>
      </w:r>
      <w:r w:rsidR="00E425BD">
        <w:t>hhchct.</w:t>
      </w:r>
    </w:p>
    <w:p w14:paraId="4FCC28E8" w14:textId="77777777" w:rsidR="00B8247A" w:rsidRDefault="00B8247A" w:rsidP="00B8247A"/>
    <w:p w14:paraId="664A217E" w14:textId="676FF627" w:rsidR="00B8247A" w:rsidRDefault="00B8247A" w:rsidP="00B8247A">
      <w:r>
        <w:t>svyset _n [pweight=</w:t>
      </w:r>
      <w:r w:rsidR="002A226D" w:rsidRPr="002A226D">
        <w:t xml:space="preserve"> </w:t>
      </w:r>
      <w:r w:rsidR="002A226D">
        <w:t>x_</w:t>
      </w:r>
      <w:r>
        <w:t>wt</w:t>
      </w:r>
      <w:r w:rsidR="001206F1">
        <w:t>prim</w:t>
      </w:r>
      <w:r>
        <w:t>hh], strata(</w:t>
      </w:r>
      <w:r w:rsidR="002A226D">
        <w:t>x_</w:t>
      </w:r>
      <w:r w:rsidR="001206F1">
        <w:t>stratafull</w:t>
      </w:r>
      <w:r>
        <w:t>) vce(linearized) singleunit(missing)</w:t>
      </w:r>
    </w:p>
    <w:p w14:paraId="53BF2A63" w14:textId="77777777" w:rsidR="00B8247A" w:rsidRDefault="00B8247A" w:rsidP="00B8247A"/>
    <w:p w14:paraId="67CA0702" w14:textId="7A1312BC" w:rsidR="00B8247A" w:rsidRDefault="00B8247A" w:rsidP="00B8247A">
      <w:r>
        <w:t>Use the respondent weights for questions asked only of respondents</w:t>
      </w:r>
      <w:r w:rsidR="00923F3C">
        <w:t xml:space="preserve">. </w:t>
      </w:r>
      <w:r>
        <w:t>Use wt</w:t>
      </w:r>
      <w:r w:rsidR="001206F1">
        <w:t>prim</w:t>
      </w:r>
      <w:r>
        <w:t>resp to estimate percentage of adults (including respondent and non</w:t>
      </w:r>
      <w:r w:rsidR="00817166">
        <w:t>-</w:t>
      </w:r>
      <w:r>
        <w:t>respondent adults):</w:t>
      </w:r>
    </w:p>
    <w:p w14:paraId="4C7BB8E8" w14:textId="77777777" w:rsidR="00B8247A" w:rsidRDefault="00B8247A" w:rsidP="00B8247A"/>
    <w:p w14:paraId="41718CAD" w14:textId="44BD50D4" w:rsidR="00B8247A" w:rsidRDefault="00B8247A" w:rsidP="00B8247A">
      <w:r>
        <w:t>svyset _n [pweight=</w:t>
      </w:r>
      <w:r w:rsidR="002A226D">
        <w:t>x_</w:t>
      </w:r>
      <w:r>
        <w:t>wt</w:t>
      </w:r>
      <w:r w:rsidR="001206F1">
        <w:t>prim</w:t>
      </w:r>
      <w:r>
        <w:t>resp], strata(</w:t>
      </w:r>
      <w:r w:rsidR="002A226D">
        <w:t>x_</w:t>
      </w:r>
      <w:r w:rsidR="001206F1" w:rsidRPr="001206F1">
        <w:t xml:space="preserve"> </w:t>
      </w:r>
      <w:r w:rsidR="001206F1">
        <w:t>stratafull</w:t>
      </w:r>
      <w:r>
        <w:t>) vce(linearized) singleunit(missing)</w:t>
      </w:r>
    </w:p>
    <w:p w14:paraId="3C2E8E02" w14:textId="77777777" w:rsidR="00B8247A" w:rsidRDefault="00B8247A" w:rsidP="00B8247A"/>
    <w:p w14:paraId="610AAF4D" w14:textId="77777777" w:rsidR="00B8247A" w:rsidRDefault="00B8247A" w:rsidP="00B8247A">
      <w:r>
        <w:t>Primary weights should be used for generating characteristics of the population as a whole, including counts and subgroups</w:t>
      </w:r>
      <w:r w:rsidR="00923F3C">
        <w:t>.</w:t>
      </w:r>
    </w:p>
    <w:p w14:paraId="71F40F3C" w14:textId="77777777" w:rsidR="00B8247A" w:rsidRDefault="00B8247A" w:rsidP="00B8247A"/>
    <w:p w14:paraId="34BE20CC" w14:textId="65F1BAD1" w:rsidR="00713299" w:rsidRPr="000C073B" w:rsidRDefault="00713299" w:rsidP="00713299">
      <w:pPr>
        <w:rPr>
          <w:i/>
        </w:rPr>
      </w:pPr>
      <w:r>
        <w:rPr>
          <w:i/>
        </w:rPr>
        <w:t xml:space="preserve">Example: </w:t>
      </w:r>
      <w:r w:rsidRPr="000C073B">
        <w:rPr>
          <w:i/>
        </w:rPr>
        <w:t xml:space="preserve">Household </w:t>
      </w:r>
      <w:r w:rsidR="00817166">
        <w:rPr>
          <w:i/>
        </w:rPr>
        <w:t>C</w:t>
      </w:r>
      <w:r w:rsidRPr="000C073B">
        <w:rPr>
          <w:i/>
        </w:rPr>
        <w:t>haracteristics</w:t>
      </w:r>
    </w:p>
    <w:p w14:paraId="7CFCF3D1" w14:textId="77777777" w:rsidR="00713299" w:rsidRDefault="00713299" w:rsidP="00713299"/>
    <w:p w14:paraId="0F22A498" w14:textId="728D3645" w:rsidR="00713299" w:rsidRDefault="00713299" w:rsidP="00713299">
      <w:r>
        <w:t xml:space="preserve">The number or proportion of </w:t>
      </w:r>
      <w:r w:rsidR="00817166">
        <w:t>households</w:t>
      </w:r>
      <w:r>
        <w:t xml:space="preserve"> that are synagogue members:</w:t>
      </w:r>
    </w:p>
    <w:p w14:paraId="3F1124E0" w14:textId="77777777" w:rsidR="00713299" w:rsidRDefault="00713299" w:rsidP="00713299"/>
    <w:p w14:paraId="0FC06E0F" w14:textId="4DDBB981" w:rsidR="00713299" w:rsidRDefault="00713299" w:rsidP="00713299">
      <w:r>
        <w:t>svyset _n [pweight=</w:t>
      </w:r>
      <w:r w:rsidR="002A226D" w:rsidRPr="002A226D">
        <w:t xml:space="preserve"> </w:t>
      </w:r>
      <w:r w:rsidR="002A226D">
        <w:t>x_</w:t>
      </w:r>
      <w:r>
        <w:t>wt</w:t>
      </w:r>
      <w:r w:rsidR="001206F1">
        <w:t>prim</w:t>
      </w:r>
      <w:r>
        <w:t>hh], strata(</w:t>
      </w:r>
      <w:r w:rsidR="002A226D">
        <w:t>x_</w:t>
      </w:r>
      <w:r w:rsidR="001206F1" w:rsidRPr="001206F1">
        <w:t xml:space="preserve"> </w:t>
      </w:r>
      <w:r w:rsidR="001206F1">
        <w:t>stratafull</w:t>
      </w:r>
      <w:r>
        <w:t>) vce(linearized) singleunit(missing)</w:t>
      </w:r>
    </w:p>
    <w:p w14:paraId="644AF044" w14:textId="291C6731" w:rsidR="00713299" w:rsidRDefault="00713299" w:rsidP="00713299">
      <w:r>
        <w:t>svy, subpop(</w:t>
      </w:r>
      <w:r w:rsidR="002A226D">
        <w:t>x_</w:t>
      </w:r>
      <w:r>
        <w:t>hhjewish): tab rlsynany, count</w:t>
      </w:r>
    </w:p>
    <w:p w14:paraId="29F05119" w14:textId="41AF809E" w:rsidR="00713299" w:rsidRDefault="00713299" w:rsidP="00713299">
      <w:r>
        <w:t>svy, subpop(</w:t>
      </w:r>
      <w:r w:rsidR="002A226D">
        <w:t>x_</w:t>
      </w:r>
      <w:r>
        <w:t>hhjewish): tab rlsynany</w:t>
      </w:r>
    </w:p>
    <w:p w14:paraId="0363F13F" w14:textId="77777777" w:rsidR="00713299" w:rsidRDefault="00713299" w:rsidP="00713299"/>
    <w:p w14:paraId="6EFF413E" w14:textId="57CA9725" w:rsidR="00713299" w:rsidRPr="00713299" w:rsidRDefault="00713299" w:rsidP="00713299">
      <w:pPr>
        <w:rPr>
          <w:i/>
        </w:rPr>
      </w:pPr>
      <w:r w:rsidRPr="00713299">
        <w:rPr>
          <w:i/>
        </w:rPr>
        <w:t xml:space="preserve">Example: Counts </w:t>
      </w:r>
      <w:r w:rsidR="00817166">
        <w:rPr>
          <w:i/>
        </w:rPr>
        <w:t xml:space="preserve">of </w:t>
      </w:r>
      <w:r w:rsidR="001206F1">
        <w:rPr>
          <w:i/>
        </w:rPr>
        <w:t>Adults</w:t>
      </w:r>
    </w:p>
    <w:p w14:paraId="4FBA8A65" w14:textId="77777777" w:rsidR="00713299" w:rsidRDefault="00713299" w:rsidP="00713299"/>
    <w:p w14:paraId="5176E687" w14:textId="016856F8" w:rsidR="00713299" w:rsidRDefault="00713299" w:rsidP="00713299">
      <w:r>
        <w:t>svyset _n [pweight=</w:t>
      </w:r>
      <w:r w:rsidR="002A226D" w:rsidRPr="002A226D">
        <w:t xml:space="preserve"> </w:t>
      </w:r>
      <w:r w:rsidR="002A226D">
        <w:t>x_</w:t>
      </w:r>
      <w:r>
        <w:t>wt</w:t>
      </w:r>
      <w:r w:rsidR="001206F1">
        <w:t>prim</w:t>
      </w:r>
      <w:r>
        <w:t>hh], strata(</w:t>
      </w:r>
      <w:r w:rsidR="001206F1">
        <w:t>x_stratafull</w:t>
      </w:r>
      <w:r>
        <w:t>) vce(linearized) singleunit(missing)</w:t>
      </w:r>
    </w:p>
    <w:p w14:paraId="59769E63" w14:textId="1ADD180D" w:rsidR="00713299" w:rsidRDefault="00713299" w:rsidP="00713299">
      <w:r>
        <w:t>svy, subpop(</w:t>
      </w:r>
      <w:r w:rsidR="002A226D">
        <w:t>x_</w:t>
      </w:r>
      <w:r>
        <w:t xml:space="preserve">hhjewish): total </w:t>
      </w:r>
      <w:r w:rsidR="001206F1">
        <w:t>x_</w:t>
      </w:r>
      <w:r>
        <w:t>hhadct</w:t>
      </w:r>
    </w:p>
    <w:p w14:paraId="36A71189" w14:textId="77777777" w:rsidR="00713299" w:rsidRDefault="00713299" w:rsidP="00713299"/>
    <w:p w14:paraId="425878E1" w14:textId="4C39FF49" w:rsidR="00713299" w:rsidRPr="000C073B" w:rsidRDefault="00713299" w:rsidP="00713299">
      <w:pPr>
        <w:rPr>
          <w:i/>
        </w:rPr>
      </w:pPr>
      <w:r>
        <w:rPr>
          <w:i/>
        </w:rPr>
        <w:t>Example</w:t>
      </w:r>
      <w:r>
        <w:t xml:space="preserve">: </w:t>
      </w:r>
      <w:r>
        <w:rPr>
          <w:i/>
        </w:rPr>
        <w:t>R</w:t>
      </w:r>
      <w:r w:rsidRPr="000C073B">
        <w:rPr>
          <w:i/>
        </w:rPr>
        <w:t>espondent</w:t>
      </w:r>
      <w:r w:rsidR="00817166">
        <w:rPr>
          <w:i/>
        </w:rPr>
        <w:t xml:space="preserve"> or Individual</w:t>
      </w:r>
      <w:r w:rsidRPr="000C073B">
        <w:rPr>
          <w:i/>
        </w:rPr>
        <w:t xml:space="preserve"> </w:t>
      </w:r>
      <w:r w:rsidR="00817166">
        <w:rPr>
          <w:i/>
        </w:rPr>
        <w:t>C</w:t>
      </w:r>
      <w:r w:rsidRPr="000C073B">
        <w:rPr>
          <w:i/>
        </w:rPr>
        <w:t>haracteristics</w:t>
      </w:r>
    </w:p>
    <w:p w14:paraId="57222DD9" w14:textId="77777777" w:rsidR="00713299" w:rsidRDefault="00713299" w:rsidP="00713299"/>
    <w:p w14:paraId="5545BD11" w14:textId="77777777" w:rsidR="00713299" w:rsidRDefault="00713299" w:rsidP="00713299">
      <w:r>
        <w:t>The proportion of close Jewish friends:</w:t>
      </w:r>
    </w:p>
    <w:p w14:paraId="6F7309D8" w14:textId="77777777" w:rsidR="00713299" w:rsidRDefault="00713299" w:rsidP="00713299"/>
    <w:p w14:paraId="2B4D870D" w14:textId="5E56C6CA" w:rsidR="00713299" w:rsidRDefault="00713299" w:rsidP="00713299">
      <w:r>
        <w:t>svyset _n [pweight=</w:t>
      </w:r>
      <w:r w:rsidR="002A226D" w:rsidRPr="002A226D">
        <w:t xml:space="preserve"> </w:t>
      </w:r>
      <w:r w:rsidR="002A226D">
        <w:t>x_</w:t>
      </w:r>
      <w:r>
        <w:t>wtresp], strata(</w:t>
      </w:r>
      <w:r w:rsidR="001206F1">
        <w:t>x_stratafull</w:t>
      </w:r>
      <w:r>
        <w:t>) vce(linearized) singleunit(missing)</w:t>
      </w:r>
    </w:p>
    <w:p w14:paraId="5842C0A2" w14:textId="743EA4F0" w:rsidR="00713299" w:rsidRDefault="00713299" w:rsidP="00713299">
      <w:r>
        <w:t>svy, subpop(</w:t>
      </w:r>
      <w:r w:rsidR="002A226D">
        <w:t>x_</w:t>
      </w:r>
      <w:r>
        <w:t>respjewish): tab jlfriend</w:t>
      </w:r>
    </w:p>
    <w:p w14:paraId="2B59F2A3" w14:textId="77777777" w:rsidR="00713299" w:rsidRDefault="00713299" w:rsidP="00B8247A"/>
    <w:p w14:paraId="66A63038" w14:textId="3432C401" w:rsidR="00713299" w:rsidRPr="00713299" w:rsidRDefault="00713299" w:rsidP="00B8247A">
      <w:pPr>
        <w:rPr>
          <w:u w:val="single"/>
        </w:rPr>
      </w:pPr>
      <w:r>
        <w:rPr>
          <w:u w:val="single"/>
        </w:rPr>
        <w:t>Full Weights</w:t>
      </w:r>
    </w:p>
    <w:p w14:paraId="1094B6BA" w14:textId="77777777" w:rsidR="00713299" w:rsidRDefault="00713299" w:rsidP="00B8247A"/>
    <w:p w14:paraId="3AF97113" w14:textId="573499BF" w:rsidR="00B8247A" w:rsidRPr="00713299" w:rsidRDefault="00713299" w:rsidP="00B8247A">
      <w:pPr>
        <w:rPr>
          <w:i/>
        </w:rPr>
      </w:pPr>
      <w:r w:rsidRPr="00923F3C">
        <w:rPr>
          <w:i/>
        </w:rPr>
        <w:t>DO NOT use the full weights to generate population counts</w:t>
      </w:r>
      <w:r>
        <w:rPr>
          <w:i/>
        </w:rPr>
        <w:t xml:space="preserve">. </w:t>
      </w:r>
      <w:r w:rsidR="00B8247A" w:rsidRPr="00923F3C">
        <w:t>Full weights should be used for characteristics of subgroups</w:t>
      </w:r>
      <w:r w:rsidR="00923F3C">
        <w:t xml:space="preserve"> (e.g., percentage of synagogue-member households that belong to other Jewish organizations)</w:t>
      </w:r>
    </w:p>
    <w:p w14:paraId="0E73BE8C" w14:textId="77777777" w:rsidR="00B8247A" w:rsidRDefault="00B8247A" w:rsidP="00B8247A"/>
    <w:p w14:paraId="03A0C0CF" w14:textId="57E082CE" w:rsidR="00B8247A" w:rsidRDefault="00B8247A" w:rsidP="00B8247A">
      <w:r>
        <w:t>svyset _n [pweight=</w:t>
      </w:r>
      <w:r w:rsidR="002A226D" w:rsidRPr="002A226D">
        <w:t xml:space="preserve"> </w:t>
      </w:r>
      <w:r w:rsidR="001206F1">
        <w:t>x_wtfullhh</w:t>
      </w:r>
      <w:r>
        <w:t>], strata(</w:t>
      </w:r>
      <w:r w:rsidR="001206F1">
        <w:t>x_stratafull</w:t>
      </w:r>
      <w:r>
        <w:t>) vce(linearized) singleunit(missing)</w:t>
      </w:r>
    </w:p>
    <w:p w14:paraId="3BABD4E9" w14:textId="206A5807" w:rsidR="00B8247A" w:rsidRDefault="00B8247A" w:rsidP="00B8247A">
      <w:r>
        <w:t>svyset _n [pweight=</w:t>
      </w:r>
      <w:r w:rsidR="002A226D" w:rsidRPr="002A226D">
        <w:t xml:space="preserve"> </w:t>
      </w:r>
      <w:r w:rsidR="001206F1">
        <w:t>x_wtfullresp</w:t>
      </w:r>
      <w:r>
        <w:t>], strata(</w:t>
      </w:r>
      <w:r w:rsidR="001206F1">
        <w:t>x_stratafull</w:t>
      </w:r>
      <w:r>
        <w:t>) vce(linearized) singleunit(missing)</w:t>
      </w:r>
    </w:p>
    <w:p w14:paraId="5A6388D0" w14:textId="77777777" w:rsidR="00B8247A" w:rsidRDefault="00B8247A" w:rsidP="00B8247A"/>
    <w:p w14:paraId="3784824F" w14:textId="0CF4DB9F" w:rsidR="00B8247A" w:rsidRPr="000C073B" w:rsidRDefault="000C073B" w:rsidP="00B8247A">
      <w:pPr>
        <w:rPr>
          <w:i/>
        </w:rPr>
      </w:pPr>
      <w:r w:rsidRPr="000C073B">
        <w:rPr>
          <w:i/>
        </w:rPr>
        <w:t xml:space="preserve">Example: </w:t>
      </w:r>
      <w:r w:rsidR="00B8247A" w:rsidRPr="000C073B">
        <w:rPr>
          <w:i/>
        </w:rPr>
        <w:t>H</w:t>
      </w:r>
      <w:r w:rsidR="00923F3C" w:rsidRPr="000C073B">
        <w:rPr>
          <w:i/>
        </w:rPr>
        <w:t>ousehold</w:t>
      </w:r>
      <w:r w:rsidR="00B8247A" w:rsidRPr="000C073B">
        <w:rPr>
          <w:i/>
        </w:rPr>
        <w:t xml:space="preserve"> </w:t>
      </w:r>
      <w:r w:rsidR="00817166">
        <w:rPr>
          <w:i/>
        </w:rPr>
        <w:t>S</w:t>
      </w:r>
      <w:r w:rsidR="00B8247A" w:rsidRPr="000C073B">
        <w:rPr>
          <w:i/>
        </w:rPr>
        <w:t>ubpopulations</w:t>
      </w:r>
    </w:p>
    <w:p w14:paraId="7187D601" w14:textId="77777777" w:rsidR="00923F3C" w:rsidRDefault="00923F3C" w:rsidP="00B8247A"/>
    <w:p w14:paraId="0329E53E" w14:textId="77777777" w:rsidR="00B8247A" w:rsidRDefault="00923F3C" w:rsidP="00B8247A">
      <w:r>
        <w:t>T</w:t>
      </w:r>
      <w:r w:rsidR="00B8247A">
        <w:t>he proportion of synagogue-member h</w:t>
      </w:r>
      <w:r>
        <w:t>ouse</w:t>
      </w:r>
      <w:r w:rsidR="00B8247A">
        <w:t>h</w:t>
      </w:r>
      <w:r>
        <w:t>olds</w:t>
      </w:r>
      <w:r w:rsidR="00B8247A">
        <w:t xml:space="preserve"> that also belong to Jewish organizations</w:t>
      </w:r>
      <w:r>
        <w:t>:</w:t>
      </w:r>
    </w:p>
    <w:p w14:paraId="794C3F2E" w14:textId="77777777" w:rsidR="00B8247A" w:rsidRDefault="00B8247A" w:rsidP="00B8247A"/>
    <w:p w14:paraId="7D20C8BD" w14:textId="1EB2F4D1" w:rsidR="00B8247A" w:rsidRDefault="00B8247A" w:rsidP="00B8247A">
      <w:r>
        <w:t>svyset _n [pweight=</w:t>
      </w:r>
      <w:r w:rsidR="002A226D" w:rsidRPr="002A226D">
        <w:t xml:space="preserve"> </w:t>
      </w:r>
      <w:r w:rsidR="001206F1">
        <w:t>x_wtfullhh</w:t>
      </w:r>
      <w:r>
        <w:t>], strata(</w:t>
      </w:r>
      <w:r w:rsidR="001206F1">
        <w:t>x_stratafull</w:t>
      </w:r>
      <w:r>
        <w:t>) vce(linearized) singleunit(missing)</w:t>
      </w:r>
    </w:p>
    <w:p w14:paraId="1210405D" w14:textId="77777777" w:rsidR="001206F1" w:rsidRDefault="001206F1" w:rsidP="00B8247A"/>
    <w:p w14:paraId="6DC1E355" w14:textId="59342DC4" w:rsidR="00B8247A" w:rsidRDefault="00B8247A" w:rsidP="00B8247A">
      <w:r>
        <w:t>svy, subpop(</w:t>
      </w:r>
      <w:r w:rsidR="002A226D">
        <w:t>x_</w:t>
      </w:r>
      <w:r>
        <w:t xml:space="preserve">hhjewish): tab </w:t>
      </w:r>
      <w:r w:rsidR="001206F1">
        <w:t>orgmem</w:t>
      </w:r>
      <w:r>
        <w:t xml:space="preserve"> rlsynany, col</w:t>
      </w:r>
    </w:p>
    <w:p w14:paraId="423B2AA4" w14:textId="77777777" w:rsidR="00B8247A" w:rsidRDefault="00B8247A" w:rsidP="00B8247A"/>
    <w:p w14:paraId="72DFABAB" w14:textId="72957DCB" w:rsidR="00B8247A" w:rsidRPr="000C073B" w:rsidRDefault="000C073B" w:rsidP="00B8247A">
      <w:pPr>
        <w:rPr>
          <w:i/>
        </w:rPr>
      </w:pPr>
      <w:r w:rsidRPr="000C073B">
        <w:rPr>
          <w:i/>
        </w:rPr>
        <w:t xml:space="preserve">Example: </w:t>
      </w:r>
      <w:r w:rsidR="00713299">
        <w:rPr>
          <w:i/>
        </w:rPr>
        <w:t>R</w:t>
      </w:r>
      <w:r w:rsidR="00B8247A" w:rsidRPr="000C073B">
        <w:rPr>
          <w:i/>
        </w:rPr>
        <w:t>espondent</w:t>
      </w:r>
      <w:r w:rsidR="00817166">
        <w:rPr>
          <w:i/>
        </w:rPr>
        <w:t xml:space="preserve"> or Individual C</w:t>
      </w:r>
      <w:r w:rsidR="00923F3C" w:rsidRPr="000C073B">
        <w:rPr>
          <w:i/>
        </w:rPr>
        <w:t>haracteristics</w:t>
      </w:r>
    </w:p>
    <w:p w14:paraId="09C9B403" w14:textId="77777777" w:rsidR="00B8247A" w:rsidRDefault="00B8247A" w:rsidP="00B8247A"/>
    <w:p w14:paraId="1A0B985B" w14:textId="087D66C1" w:rsidR="00B8247A" w:rsidRDefault="00923F3C" w:rsidP="00B8247A">
      <w:r>
        <w:t>T</w:t>
      </w:r>
      <w:r w:rsidR="00B8247A">
        <w:t xml:space="preserve">he proportion of close Jewish friends held by those </w:t>
      </w:r>
      <w:r w:rsidR="001206F1">
        <w:t>who rent or own their homes</w:t>
      </w:r>
      <w:r>
        <w:t>:</w:t>
      </w:r>
    </w:p>
    <w:p w14:paraId="49E0968D" w14:textId="77777777" w:rsidR="00B8247A" w:rsidRDefault="00B8247A" w:rsidP="00B8247A"/>
    <w:p w14:paraId="47FC819A" w14:textId="189BC2A3" w:rsidR="00B8247A" w:rsidRDefault="00B8247A" w:rsidP="00B8247A">
      <w:r>
        <w:t>svyset _n [pweight=</w:t>
      </w:r>
      <w:r w:rsidR="002A226D" w:rsidRPr="002A226D">
        <w:t xml:space="preserve"> </w:t>
      </w:r>
      <w:r w:rsidR="001206F1">
        <w:t>x_wtfullresp</w:t>
      </w:r>
      <w:r>
        <w:t>], strata(</w:t>
      </w:r>
      <w:r w:rsidR="001206F1">
        <w:t>x_stratafull</w:t>
      </w:r>
      <w:r>
        <w:t>) vce(linearized) singleunit(missing)</w:t>
      </w:r>
    </w:p>
    <w:p w14:paraId="41CC93FE" w14:textId="77777777" w:rsidR="001206F1" w:rsidRDefault="001206F1" w:rsidP="00B8247A"/>
    <w:p w14:paraId="673853A7" w14:textId="7F311C07" w:rsidR="00B8247A" w:rsidRDefault="00B8247A" w:rsidP="00B8247A">
      <w:r>
        <w:t>svy, subpop(</w:t>
      </w:r>
      <w:r w:rsidR="002A226D">
        <w:t>x_</w:t>
      </w:r>
      <w:r>
        <w:t xml:space="preserve">respjewish): tab jlfriend </w:t>
      </w:r>
      <w:r w:rsidR="001206F1" w:rsidRPr="001206F1">
        <w:t>locown</w:t>
      </w:r>
      <w:r>
        <w:t>, col</w:t>
      </w:r>
    </w:p>
    <w:p w14:paraId="76EE2673" w14:textId="77777777" w:rsidR="009D588A" w:rsidRDefault="009D588A"/>
    <w:p w14:paraId="73F213C4" w14:textId="3051455D" w:rsidR="00E43234" w:rsidRDefault="00E43234" w:rsidP="00633026">
      <w:pPr>
        <w:rPr>
          <w:u w:val="single"/>
        </w:rPr>
      </w:pPr>
      <w:r>
        <w:rPr>
          <w:u w:val="single"/>
        </w:rPr>
        <w:t>Mover Weights</w:t>
      </w:r>
    </w:p>
    <w:p w14:paraId="28ED3D31" w14:textId="77777777" w:rsidR="00E43234" w:rsidRDefault="00E43234" w:rsidP="00633026"/>
    <w:p w14:paraId="38DEBBFB" w14:textId="3676C025" w:rsidR="00E43234" w:rsidRDefault="00E43234" w:rsidP="00633026">
      <w:r>
        <w:t xml:space="preserve">Those who recently moved away from Metro DC were asked a special set of survey questions (see Chapter 3). These variables are: </w:t>
      </w:r>
    </w:p>
    <w:p w14:paraId="04B6151A" w14:textId="77777777" w:rsidR="00E43234" w:rsidRDefault="00E43234" w:rsidP="00633026"/>
    <w:p w14:paraId="7C59B653" w14:textId="77777777" w:rsidR="005459DC" w:rsidRDefault="005459DC" w:rsidP="00E43234">
      <w:pPr>
        <w:pStyle w:val="ListParagraph"/>
        <w:numPr>
          <w:ilvl w:val="0"/>
          <w:numId w:val="7"/>
        </w:numPr>
        <w:sectPr w:rsidR="005459DC" w:rsidSect="00633026">
          <w:type w:val="continuous"/>
          <w:pgSz w:w="12240" w:h="15840"/>
          <w:pgMar w:top="1440" w:right="1440" w:bottom="1440" w:left="1440" w:header="720" w:footer="720" w:gutter="0"/>
          <w:cols w:space="720"/>
          <w:docGrid w:linePitch="360"/>
        </w:sectPr>
      </w:pPr>
    </w:p>
    <w:p w14:paraId="04D40DF0" w14:textId="362674C0" w:rsidR="00E43234" w:rsidRDefault="00E43234" w:rsidP="00A76A09">
      <w:pPr>
        <w:pStyle w:val="ListParagraph"/>
        <w:numPr>
          <w:ilvl w:val="0"/>
          <w:numId w:val="7"/>
        </w:numPr>
      </w:pPr>
      <w:r w:rsidRPr="00E43234">
        <w:t>mvwhen_</w:t>
      </w:r>
    </w:p>
    <w:p w14:paraId="41637434" w14:textId="77777777" w:rsidR="00E43234" w:rsidRDefault="00E43234" w:rsidP="00A76A09">
      <w:pPr>
        <w:pStyle w:val="ListParagraph"/>
        <w:numPr>
          <w:ilvl w:val="0"/>
          <w:numId w:val="7"/>
        </w:numPr>
      </w:pPr>
      <w:r w:rsidRPr="00E43234">
        <w:t xml:space="preserve">month </w:t>
      </w:r>
    </w:p>
    <w:p w14:paraId="42296530" w14:textId="77777777" w:rsidR="00E43234" w:rsidRDefault="00E43234" w:rsidP="00A76A09">
      <w:pPr>
        <w:pStyle w:val="ListParagraph"/>
        <w:numPr>
          <w:ilvl w:val="0"/>
          <w:numId w:val="7"/>
        </w:numPr>
      </w:pPr>
      <w:r w:rsidRPr="00E43234">
        <w:t xml:space="preserve">mvwhen_year </w:t>
      </w:r>
    </w:p>
    <w:p w14:paraId="494093E3" w14:textId="77777777" w:rsidR="00E43234" w:rsidRDefault="00E43234" w:rsidP="00A76A09">
      <w:pPr>
        <w:pStyle w:val="ListParagraph"/>
        <w:numPr>
          <w:ilvl w:val="0"/>
          <w:numId w:val="7"/>
        </w:numPr>
      </w:pPr>
      <w:r w:rsidRPr="00E43234">
        <w:t xml:space="preserve">mvwhen_month_dkr </w:t>
      </w:r>
    </w:p>
    <w:p w14:paraId="4BA14647" w14:textId="77777777" w:rsidR="00E43234" w:rsidRDefault="00E43234" w:rsidP="00A76A09">
      <w:pPr>
        <w:pStyle w:val="ListParagraph"/>
        <w:numPr>
          <w:ilvl w:val="0"/>
          <w:numId w:val="7"/>
        </w:numPr>
      </w:pPr>
      <w:r w:rsidRPr="00E43234">
        <w:t xml:space="preserve">mvregion </w:t>
      </w:r>
    </w:p>
    <w:p w14:paraId="1B80D7EA" w14:textId="77777777" w:rsidR="00E43234" w:rsidRDefault="00E43234" w:rsidP="00A76A09">
      <w:pPr>
        <w:pStyle w:val="ListParagraph"/>
        <w:numPr>
          <w:ilvl w:val="0"/>
          <w:numId w:val="7"/>
        </w:numPr>
      </w:pPr>
      <w:r w:rsidRPr="00E43234">
        <w:t xml:space="preserve">mvregionyr </w:t>
      </w:r>
    </w:p>
    <w:p w14:paraId="343E7528" w14:textId="77777777" w:rsidR="00E43234" w:rsidRDefault="00E43234" w:rsidP="00A76A09">
      <w:pPr>
        <w:pStyle w:val="ListParagraph"/>
        <w:numPr>
          <w:ilvl w:val="0"/>
          <w:numId w:val="7"/>
        </w:numPr>
      </w:pPr>
      <w:r w:rsidRPr="00E43234">
        <w:t xml:space="preserve">mvplans </w:t>
      </w:r>
    </w:p>
    <w:p w14:paraId="28E74943" w14:textId="77777777" w:rsidR="00E43234" w:rsidRDefault="00E43234" w:rsidP="00A76A09">
      <w:pPr>
        <w:pStyle w:val="ListParagraph"/>
        <w:numPr>
          <w:ilvl w:val="0"/>
          <w:numId w:val="7"/>
        </w:numPr>
      </w:pPr>
      <w:r w:rsidRPr="00E43234">
        <w:t xml:space="preserve">mvback </w:t>
      </w:r>
    </w:p>
    <w:p w14:paraId="2DF078ED" w14:textId="77777777" w:rsidR="00E43234" w:rsidRDefault="00E43234" w:rsidP="00A76A09">
      <w:pPr>
        <w:pStyle w:val="ListParagraph"/>
        <w:numPr>
          <w:ilvl w:val="0"/>
          <w:numId w:val="7"/>
        </w:numPr>
      </w:pPr>
      <w:r w:rsidRPr="00E43234">
        <w:t xml:space="preserve">mvbase </w:t>
      </w:r>
    </w:p>
    <w:p w14:paraId="4BA92D5A" w14:textId="77777777" w:rsidR="00E43234" w:rsidRDefault="00E43234" w:rsidP="00A76A09">
      <w:pPr>
        <w:pStyle w:val="ListParagraph"/>
        <w:numPr>
          <w:ilvl w:val="0"/>
          <w:numId w:val="7"/>
        </w:numPr>
      </w:pPr>
      <w:r w:rsidRPr="00E43234">
        <w:t xml:space="preserve">mvfam </w:t>
      </w:r>
    </w:p>
    <w:p w14:paraId="3CE2F3AF" w14:textId="77777777" w:rsidR="00E43234" w:rsidRDefault="00E43234" w:rsidP="00A76A09">
      <w:pPr>
        <w:pStyle w:val="ListParagraph"/>
        <w:numPr>
          <w:ilvl w:val="0"/>
          <w:numId w:val="7"/>
        </w:numPr>
      </w:pPr>
      <w:r w:rsidRPr="00E43234">
        <w:t xml:space="preserve">mvrespgen </w:t>
      </w:r>
    </w:p>
    <w:p w14:paraId="6DBE25EB" w14:textId="77777777" w:rsidR="00E43234" w:rsidRDefault="00E43234" w:rsidP="00A76A09">
      <w:pPr>
        <w:pStyle w:val="ListParagraph"/>
        <w:numPr>
          <w:ilvl w:val="0"/>
          <w:numId w:val="7"/>
        </w:numPr>
      </w:pPr>
      <w:r w:rsidRPr="00E43234">
        <w:t xml:space="preserve">mvrespage </w:t>
      </w:r>
    </w:p>
    <w:p w14:paraId="491F7027" w14:textId="77777777" w:rsidR="00E43234" w:rsidRDefault="00E43234" w:rsidP="00A76A09">
      <w:pPr>
        <w:pStyle w:val="ListParagraph"/>
        <w:numPr>
          <w:ilvl w:val="0"/>
          <w:numId w:val="7"/>
        </w:numPr>
      </w:pPr>
      <w:r w:rsidRPr="00E43234">
        <w:t xml:space="preserve">mvresprelig </w:t>
      </w:r>
    </w:p>
    <w:p w14:paraId="648370D7" w14:textId="77777777" w:rsidR="00E43234" w:rsidRDefault="00E43234" w:rsidP="00A76A09">
      <w:pPr>
        <w:pStyle w:val="ListParagraph"/>
        <w:numPr>
          <w:ilvl w:val="0"/>
          <w:numId w:val="7"/>
        </w:numPr>
      </w:pPr>
      <w:r w:rsidRPr="00E43234">
        <w:t xml:space="preserve">mvrespconsider </w:t>
      </w:r>
    </w:p>
    <w:p w14:paraId="31A57F51" w14:textId="77777777" w:rsidR="00E43234" w:rsidRDefault="00E43234" w:rsidP="00A76A09">
      <w:pPr>
        <w:pStyle w:val="ListParagraph"/>
        <w:numPr>
          <w:ilvl w:val="0"/>
          <w:numId w:val="7"/>
        </w:numPr>
      </w:pPr>
      <w:r w:rsidRPr="00E43234">
        <w:t xml:space="preserve">mvrespparents </w:t>
      </w:r>
    </w:p>
    <w:p w14:paraId="1352C38B" w14:textId="77777777" w:rsidR="00E43234" w:rsidRDefault="00E43234" w:rsidP="00A76A09">
      <w:pPr>
        <w:pStyle w:val="ListParagraph"/>
        <w:numPr>
          <w:ilvl w:val="0"/>
          <w:numId w:val="7"/>
        </w:numPr>
      </w:pPr>
      <w:r w:rsidRPr="00E43234">
        <w:t xml:space="preserve">mvresprelrsd </w:t>
      </w:r>
    </w:p>
    <w:p w14:paraId="331A2B1B" w14:textId="77777777" w:rsidR="00E43234" w:rsidRDefault="00E43234" w:rsidP="00A76A09">
      <w:pPr>
        <w:pStyle w:val="ListParagraph"/>
        <w:numPr>
          <w:ilvl w:val="0"/>
          <w:numId w:val="7"/>
        </w:numPr>
      </w:pPr>
      <w:r w:rsidRPr="00E43234">
        <w:t xml:space="preserve">mvrespconvert </w:t>
      </w:r>
    </w:p>
    <w:p w14:paraId="757569CC" w14:textId="77777777" w:rsidR="00E43234" w:rsidRDefault="00E43234" w:rsidP="00A76A09">
      <w:pPr>
        <w:pStyle w:val="ListParagraph"/>
        <w:numPr>
          <w:ilvl w:val="0"/>
          <w:numId w:val="7"/>
        </w:numPr>
      </w:pPr>
      <w:r w:rsidRPr="00E43234">
        <w:t xml:space="preserve">mvadct </w:t>
      </w:r>
    </w:p>
    <w:p w14:paraId="2ED4BAAD" w14:textId="77777777" w:rsidR="00E43234" w:rsidRDefault="00E43234" w:rsidP="00A76A09">
      <w:pPr>
        <w:pStyle w:val="ListParagraph"/>
        <w:numPr>
          <w:ilvl w:val="0"/>
          <w:numId w:val="7"/>
        </w:numPr>
      </w:pPr>
      <w:r w:rsidRPr="00E43234">
        <w:t xml:space="preserve">mvadjct </w:t>
      </w:r>
    </w:p>
    <w:p w14:paraId="52524599" w14:textId="77777777" w:rsidR="00E43234" w:rsidRDefault="00E43234" w:rsidP="00A76A09">
      <w:pPr>
        <w:pStyle w:val="ListParagraph"/>
        <w:numPr>
          <w:ilvl w:val="0"/>
          <w:numId w:val="7"/>
        </w:numPr>
      </w:pPr>
      <w:r w:rsidRPr="00E43234">
        <w:t xml:space="preserve">mvchct </w:t>
      </w:r>
    </w:p>
    <w:p w14:paraId="24F82D53" w14:textId="77777777" w:rsidR="00E43234" w:rsidRDefault="00E43234" w:rsidP="00A76A09">
      <w:pPr>
        <w:pStyle w:val="ListParagraph"/>
        <w:numPr>
          <w:ilvl w:val="0"/>
          <w:numId w:val="7"/>
        </w:numPr>
      </w:pPr>
      <w:r w:rsidRPr="00E43234">
        <w:t xml:space="preserve">mvchjct </w:t>
      </w:r>
    </w:p>
    <w:p w14:paraId="06136A0C" w14:textId="77777777" w:rsidR="00E43234" w:rsidRDefault="00E43234" w:rsidP="00A76A09">
      <w:pPr>
        <w:pStyle w:val="ListParagraph"/>
        <w:numPr>
          <w:ilvl w:val="0"/>
          <w:numId w:val="7"/>
        </w:numPr>
      </w:pPr>
      <w:r w:rsidRPr="00E43234">
        <w:t xml:space="preserve">mvjob </w:t>
      </w:r>
    </w:p>
    <w:p w14:paraId="450DB476" w14:textId="77777777" w:rsidR="00E43234" w:rsidRDefault="00E43234" w:rsidP="00A76A09">
      <w:pPr>
        <w:pStyle w:val="ListParagraph"/>
        <w:numPr>
          <w:ilvl w:val="0"/>
          <w:numId w:val="7"/>
        </w:numPr>
      </w:pPr>
      <w:r w:rsidRPr="00E43234">
        <w:t xml:space="preserve">mvgov </w:t>
      </w:r>
    </w:p>
    <w:p w14:paraId="1D01E55A" w14:textId="77777777" w:rsidR="00E43234" w:rsidRDefault="00E43234" w:rsidP="00A76A09">
      <w:pPr>
        <w:pStyle w:val="ListParagraph"/>
        <w:numPr>
          <w:ilvl w:val="0"/>
          <w:numId w:val="7"/>
        </w:numPr>
      </w:pPr>
      <w:r w:rsidRPr="00E43234">
        <w:t xml:space="preserve">mvwork </w:t>
      </w:r>
    </w:p>
    <w:p w14:paraId="63384D9F" w14:textId="77777777" w:rsidR="00E43234" w:rsidRDefault="00E43234" w:rsidP="00A76A09">
      <w:pPr>
        <w:pStyle w:val="ListParagraph"/>
        <w:numPr>
          <w:ilvl w:val="0"/>
          <w:numId w:val="7"/>
        </w:numPr>
      </w:pPr>
      <w:r w:rsidRPr="00E43234">
        <w:t xml:space="preserve">mvspouse </w:t>
      </w:r>
    </w:p>
    <w:p w14:paraId="57BE8AC0" w14:textId="77777777" w:rsidR="00E43234" w:rsidRDefault="00E43234" w:rsidP="00A76A09">
      <w:pPr>
        <w:pStyle w:val="ListParagraph"/>
        <w:numPr>
          <w:ilvl w:val="0"/>
          <w:numId w:val="7"/>
        </w:numPr>
      </w:pPr>
      <w:r w:rsidRPr="00E43234">
        <w:t xml:space="preserve">mvjobsp </w:t>
      </w:r>
    </w:p>
    <w:p w14:paraId="2D97E3B0" w14:textId="77777777" w:rsidR="00E43234" w:rsidRDefault="00E43234" w:rsidP="00A76A09">
      <w:pPr>
        <w:pStyle w:val="ListParagraph"/>
        <w:numPr>
          <w:ilvl w:val="0"/>
          <w:numId w:val="7"/>
        </w:numPr>
      </w:pPr>
      <w:r w:rsidRPr="00E43234">
        <w:t xml:space="preserve">mvgovsp </w:t>
      </w:r>
    </w:p>
    <w:p w14:paraId="1334DC72" w14:textId="77777777" w:rsidR="00E43234" w:rsidRDefault="00E43234" w:rsidP="00A76A09">
      <w:pPr>
        <w:pStyle w:val="ListParagraph"/>
        <w:numPr>
          <w:ilvl w:val="0"/>
          <w:numId w:val="7"/>
        </w:numPr>
      </w:pPr>
      <w:r w:rsidRPr="00E43234">
        <w:t xml:space="preserve">mvworksp </w:t>
      </w:r>
    </w:p>
    <w:p w14:paraId="585428C3" w14:textId="6DF9CC57" w:rsidR="00E43234" w:rsidRDefault="00E43234" w:rsidP="00A76A09">
      <w:pPr>
        <w:pStyle w:val="ListParagraph"/>
        <w:numPr>
          <w:ilvl w:val="0"/>
          <w:numId w:val="7"/>
        </w:numPr>
      </w:pPr>
      <w:r w:rsidRPr="00E43234">
        <w:t>mvsyn</w:t>
      </w:r>
    </w:p>
    <w:p w14:paraId="5FAF62DC" w14:textId="77777777" w:rsidR="005459DC" w:rsidRDefault="005459DC" w:rsidP="00E43234">
      <w:pPr>
        <w:sectPr w:rsidR="005459DC" w:rsidSect="00A76A09">
          <w:type w:val="continuous"/>
          <w:pgSz w:w="12240" w:h="15840"/>
          <w:pgMar w:top="1440" w:right="1440" w:bottom="1440" w:left="1440" w:header="720" w:footer="720" w:gutter="0"/>
          <w:cols w:num="2" w:space="720"/>
          <w:docGrid w:linePitch="360"/>
        </w:sectPr>
      </w:pPr>
    </w:p>
    <w:p w14:paraId="23211806" w14:textId="18B4806C" w:rsidR="00E43234" w:rsidRDefault="00E43234" w:rsidP="00E43234"/>
    <w:p w14:paraId="0CA67EA4" w14:textId="1CAAF0B7" w:rsidR="00E43234" w:rsidRPr="00E43234" w:rsidRDefault="005459DC" w:rsidP="00E43234">
      <w:r>
        <w:t>x_wtprimmove should be used in the same manner as primary weights, and x_wtfullmove should be used in the same manner as full weights.</w:t>
      </w:r>
    </w:p>
    <w:sectPr w:rsidR="00E43234" w:rsidRPr="00E43234" w:rsidSect="00633026">
      <w:type w:val="continuous"/>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17AB2C" w16cid:durableId="1E4AB0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B1483" w14:textId="77777777" w:rsidR="00E43234" w:rsidRDefault="00E43234" w:rsidP="00E83828">
      <w:r>
        <w:separator/>
      </w:r>
    </w:p>
  </w:endnote>
  <w:endnote w:type="continuationSeparator" w:id="0">
    <w:p w14:paraId="78DB6D19" w14:textId="77777777" w:rsidR="00E43234" w:rsidRDefault="00E43234" w:rsidP="00E8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auto"/>
    <w:pitch w:val="variable"/>
    <w:sig w:usb0="00000003" w:usb1="00000000" w:usb2="00000000" w:usb3="00000000" w:csb0="00000001" w:csb1="00000000"/>
  </w:font>
  <w:font w:name="Segoe UI">
    <w:altName w:val="Calibr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25BE5" w14:textId="77777777" w:rsidR="00E43234" w:rsidRDefault="00E43234" w:rsidP="00E83828">
      <w:r>
        <w:separator/>
      </w:r>
    </w:p>
  </w:footnote>
  <w:footnote w:type="continuationSeparator" w:id="0">
    <w:p w14:paraId="5CD8ED66" w14:textId="77777777" w:rsidR="00E43234" w:rsidRDefault="00E43234" w:rsidP="00E83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404CD"/>
    <w:multiLevelType w:val="hybridMultilevel"/>
    <w:tmpl w:val="924E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56DC8"/>
    <w:multiLevelType w:val="hybridMultilevel"/>
    <w:tmpl w:val="C0B44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835D9"/>
    <w:multiLevelType w:val="hybridMultilevel"/>
    <w:tmpl w:val="47784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2600B"/>
    <w:multiLevelType w:val="hybridMultilevel"/>
    <w:tmpl w:val="4350C9CE"/>
    <w:lvl w:ilvl="0" w:tplc="E97CE90E">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6A2CB7"/>
    <w:multiLevelType w:val="hybridMultilevel"/>
    <w:tmpl w:val="594C2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5264F3"/>
    <w:multiLevelType w:val="hybridMultilevel"/>
    <w:tmpl w:val="39420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62317E"/>
    <w:multiLevelType w:val="hybridMultilevel"/>
    <w:tmpl w:val="4E10215E"/>
    <w:lvl w:ilvl="0" w:tplc="4F14073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47A"/>
    <w:rsid w:val="000A0841"/>
    <w:rsid w:val="000C073B"/>
    <w:rsid w:val="000F6E92"/>
    <w:rsid w:val="00102F3B"/>
    <w:rsid w:val="001206F1"/>
    <w:rsid w:val="00155A45"/>
    <w:rsid w:val="001651ED"/>
    <w:rsid w:val="001D6F74"/>
    <w:rsid w:val="001D7D32"/>
    <w:rsid w:val="001E3D1D"/>
    <w:rsid w:val="001F2231"/>
    <w:rsid w:val="00205857"/>
    <w:rsid w:val="00210F9F"/>
    <w:rsid w:val="00261D2B"/>
    <w:rsid w:val="00262759"/>
    <w:rsid w:val="002A226D"/>
    <w:rsid w:val="002C43D0"/>
    <w:rsid w:val="00314607"/>
    <w:rsid w:val="003802CE"/>
    <w:rsid w:val="003C37BE"/>
    <w:rsid w:val="0040661A"/>
    <w:rsid w:val="00441870"/>
    <w:rsid w:val="00447D27"/>
    <w:rsid w:val="004736B1"/>
    <w:rsid w:val="00485743"/>
    <w:rsid w:val="0049688A"/>
    <w:rsid w:val="00531604"/>
    <w:rsid w:val="005459DC"/>
    <w:rsid w:val="00551962"/>
    <w:rsid w:val="00585473"/>
    <w:rsid w:val="005977BB"/>
    <w:rsid w:val="005B60C0"/>
    <w:rsid w:val="005F33AF"/>
    <w:rsid w:val="0061481B"/>
    <w:rsid w:val="00633026"/>
    <w:rsid w:val="00646427"/>
    <w:rsid w:val="006A077A"/>
    <w:rsid w:val="006A60A6"/>
    <w:rsid w:val="006E0142"/>
    <w:rsid w:val="00713299"/>
    <w:rsid w:val="007475A1"/>
    <w:rsid w:val="007B49AC"/>
    <w:rsid w:val="00800AD5"/>
    <w:rsid w:val="00814CCE"/>
    <w:rsid w:val="00817166"/>
    <w:rsid w:val="008876EB"/>
    <w:rsid w:val="008D3E84"/>
    <w:rsid w:val="008E0AC9"/>
    <w:rsid w:val="00923F3C"/>
    <w:rsid w:val="00933626"/>
    <w:rsid w:val="009358BF"/>
    <w:rsid w:val="00951FAF"/>
    <w:rsid w:val="009D588A"/>
    <w:rsid w:val="00A34AE4"/>
    <w:rsid w:val="00A44FDF"/>
    <w:rsid w:val="00A534A9"/>
    <w:rsid w:val="00A76A09"/>
    <w:rsid w:val="00A77567"/>
    <w:rsid w:val="00AA2D5D"/>
    <w:rsid w:val="00AC3428"/>
    <w:rsid w:val="00AD302D"/>
    <w:rsid w:val="00AD49B0"/>
    <w:rsid w:val="00AD651B"/>
    <w:rsid w:val="00B23560"/>
    <w:rsid w:val="00B8247A"/>
    <w:rsid w:val="00C35004"/>
    <w:rsid w:val="00C50E1F"/>
    <w:rsid w:val="00C65694"/>
    <w:rsid w:val="00CE1A42"/>
    <w:rsid w:val="00CE50E3"/>
    <w:rsid w:val="00CF2952"/>
    <w:rsid w:val="00D153DA"/>
    <w:rsid w:val="00D30B25"/>
    <w:rsid w:val="00D323A3"/>
    <w:rsid w:val="00D35367"/>
    <w:rsid w:val="00D55BF1"/>
    <w:rsid w:val="00D61EEA"/>
    <w:rsid w:val="00E01DC6"/>
    <w:rsid w:val="00E147EE"/>
    <w:rsid w:val="00E3215C"/>
    <w:rsid w:val="00E425BD"/>
    <w:rsid w:val="00E43234"/>
    <w:rsid w:val="00E83828"/>
    <w:rsid w:val="00EE63C2"/>
    <w:rsid w:val="00EF35BB"/>
    <w:rsid w:val="00F5745A"/>
    <w:rsid w:val="00FE3003"/>
    <w:rsid w:val="00FF616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DA40DC"/>
  <w14:defaultImageDpi w14:val="300"/>
  <w15:docId w15:val="{4B91A098-F588-4258-8203-910BA1F95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eattle">
    <w:name w:val="Seattle"/>
    <w:basedOn w:val="TableNormal"/>
    <w:uiPriority w:val="99"/>
    <w:rsid w:val="00485743"/>
    <w:rPr>
      <w:rFonts w:ascii="Gill Sans MT" w:eastAsiaTheme="minorHAnsi" w:hAnsi="Gill Sans MT"/>
      <w:sz w:val="20"/>
      <w:szCs w:val="22"/>
    </w:rPr>
    <w:tblPr>
      <w:tblStyleRowBandSize w:val="1"/>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tblBorders>
    </w:tblPr>
    <w:tcPr>
      <w:vAlign w:val="center"/>
    </w:tcPr>
    <w:tblStylePr w:type="firstRow">
      <w:pPr>
        <w:jc w:val="left"/>
      </w:pPr>
      <w:rPr>
        <w:rFonts w:ascii="Gill Sans MT" w:hAnsi="Gill Sans MT"/>
        <w:b/>
        <w:sz w:val="20"/>
      </w:rPr>
      <w:tblPr/>
      <w:tcPr>
        <w:tc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nil"/>
          <w:insideV w:val="nil"/>
          <w:tl2br w:val="nil"/>
          <w:tr2bl w:val="nil"/>
        </w:tcBorders>
        <w:shd w:val="clear" w:color="auto" w:fill="BFBFBF" w:themeFill="background1" w:themeFillShade="BF"/>
      </w:tcPr>
    </w:tblStylePr>
  </w:style>
  <w:style w:type="table" w:customStyle="1" w:styleId="Nashville">
    <w:name w:val="Nashville"/>
    <w:basedOn w:val="TableNormal"/>
    <w:uiPriority w:val="99"/>
    <w:rsid w:val="00485743"/>
    <w:rPr>
      <w:rFonts w:ascii="Gill Sans MT" w:eastAsiaTheme="minorHAnsi" w:hAnsi="Gill Sans MT" w:cs="Times New Roman"/>
      <w:szCs w:val="22"/>
    </w:rPr>
    <w:tblPr>
      <w:tblBorders>
        <w:top w:val="single" w:sz="4" w:space="0" w:color="auto"/>
        <w:left w:val="single" w:sz="4" w:space="0" w:color="auto"/>
        <w:bottom w:val="single" w:sz="4" w:space="0" w:color="auto"/>
        <w:right w:val="single" w:sz="4" w:space="0" w:color="auto"/>
      </w:tblBorders>
    </w:tblPr>
    <w:tblStylePr w:type="firstRow">
      <w:rPr>
        <w:rFonts w:ascii="Gill Sans MT" w:hAnsi="Gill Sans MT"/>
        <w:b/>
        <w:color w:val="auto"/>
        <w:sz w:val="24"/>
      </w:rPr>
      <w:tblPr/>
      <w:tcPr>
        <w:tcBorders>
          <w:top w:val="single" w:sz="4" w:space="0" w:color="auto"/>
          <w:left w:val="single" w:sz="4" w:space="0" w:color="auto"/>
          <w:bottom w:val="single" w:sz="4" w:space="0" w:color="auto"/>
          <w:right w:val="single" w:sz="4" w:space="0" w:color="auto"/>
        </w:tcBorders>
        <w:shd w:val="clear" w:color="auto" w:fill="C4BC96" w:themeFill="background2" w:themeFillShade="BF"/>
      </w:tcPr>
    </w:tblStylePr>
    <w:tblStylePr w:type="lastRow">
      <w:rPr>
        <w:rFonts w:ascii="Gill Sans MT" w:hAnsi="Gill Sans MT"/>
        <w:sz w:val="24"/>
      </w:rPr>
      <w:tblPr/>
      <w:tcPr>
        <w:tcBorders>
          <w:top w:val="single" w:sz="4" w:space="0" w:color="auto"/>
          <w:left w:val="single" w:sz="4" w:space="0" w:color="auto"/>
          <w:bottom w:val="single" w:sz="4" w:space="0" w:color="auto"/>
          <w:right w:val="single" w:sz="4" w:space="0" w:color="auto"/>
        </w:tcBorders>
      </w:tcPr>
    </w:tblStylePr>
  </w:style>
  <w:style w:type="character" w:styleId="CommentReference">
    <w:name w:val="annotation reference"/>
    <w:basedOn w:val="DefaultParagraphFont"/>
    <w:uiPriority w:val="99"/>
    <w:semiHidden/>
    <w:unhideWhenUsed/>
    <w:rsid w:val="00E83828"/>
    <w:rPr>
      <w:sz w:val="16"/>
      <w:szCs w:val="16"/>
    </w:rPr>
  </w:style>
  <w:style w:type="paragraph" w:styleId="CommentText">
    <w:name w:val="annotation text"/>
    <w:basedOn w:val="Normal"/>
    <w:link w:val="CommentTextChar"/>
    <w:uiPriority w:val="99"/>
    <w:semiHidden/>
    <w:unhideWhenUsed/>
    <w:rsid w:val="00E83828"/>
    <w:rPr>
      <w:sz w:val="20"/>
      <w:szCs w:val="20"/>
    </w:rPr>
  </w:style>
  <w:style w:type="character" w:customStyle="1" w:styleId="CommentTextChar">
    <w:name w:val="Comment Text Char"/>
    <w:basedOn w:val="DefaultParagraphFont"/>
    <w:link w:val="CommentText"/>
    <w:uiPriority w:val="99"/>
    <w:semiHidden/>
    <w:rsid w:val="00E83828"/>
    <w:rPr>
      <w:sz w:val="20"/>
      <w:szCs w:val="20"/>
    </w:rPr>
  </w:style>
  <w:style w:type="paragraph" w:styleId="CommentSubject">
    <w:name w:val="annotation subject"/>
    <w:basedOn w:val="CommentText"/>
    <w:next w:val="CommentText"/>
    <w:link w:val="CommentSubjectChar"/>
    <w:uiPriority w:val="99"/>
    <w:semiHidden/>
    <w:unhideWhenUsed/>
    <w:rsid w:val="00E83828"/>
    <w:rPr>
      <w:b/>
      <w:bCs/>
    </w:rPr>
  </w:style>
  <w:style w:type="character" w:customStyle="1" w:styleId="CommentSubjectChar">
    <w:name w:val="Comment Subject Char"/>
    <w:basedOn w:val="CommentTextChar"/>
    <w:link w:val="CommentSubject"/>
    <w:uiPriority w:val="99"/>
    <w:semiHidden/>
    <w:rsid w:val="00E83828"/>
    <w:rPr>
      <w:b/>
      <w:bCs/>
      <w:sz w:val="20"/>
      <w:szCs w:val="20"/>
    </w:rPr>
  </w:style>
  <w:style w:type="paragraph" w:styleId="BalloonText">
    <w:name w:val="Balloon Text"/>
    <w:basedOn w:val="Normal"/>
    <w:link w:val="BalloonTextChar"/>
    <w:uiPriority w:val="99"/>
    <w:semiHidden/>
    <w:unhideWhenUsed/>
    <w:rsid w:val="00E838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828"/>
    <w:rPr>
      <w:rFonts w:ascii="Segoe UI" w:hAnsi="Segoe UI" w:cs="Segoe UI"/>
      <w:sz w:val="18"/>
      <w:szCs w:val="18"/>
    </w:rPr>
  </w:style>
  <w:style w:type="paragraph" w:styleId="Header">
    <w:name w:val="header"/>
    <w:basedOn w:val="Normal"/>
    <w:link w:val="HeaderChar"/>
    <w:uiPriority w:val="99"/>
    <w:unhideWhenUsed/>
    <w:rsid w:val="00E83828"/>
    <w:pPr>
      <w:tabs>
        <w:tab w:val="center" w:pos="4680"/>
        <w:tab w:val="right" w:pos="9360"/>
      </w:tabs>
    </w:pPr>
  </w:style>
  <w:style w:type="character" w:customStyle="1" w:styleId="HeaderChar">
    <w:name w:val="Header Char"/>
    <w:basedOn w:val="DefaultParagraphFont"/>
    <w:link w:val="Header"/>
    <w:uiPriority w:val="99"/>
    <w:rsid w:val="00E83828"/>
  </w:style>
  <w:style w:type="paragraph" w:styleId="Footer">
    <w:name w:val="footer"/>
    <w:basedOn w:val="Normal"/>
    <w:link w:val="FooterChar"/>
    <w:uiPriority w:val="99"/>
    <w:unhideWhenUsed/>
    <w:rsid w:val="00E83828"/>
    <w:pPr>
      <w:tabs>
        <w:tab w:val="center" w:pos="4680"/>
        <w:tab w:val="right" w:pos="9360"/>
      </w:tabs>
    </w:pPr>
  </w:style>
  <w:style w:type="character" w:customStyle="1" w:styleId="FooterChar">
    <w:name w:val="Footer Char"/>
    <w:basedOn w:val="DefaultParagraphFont"/>
    <w:link w:val="Footer"/>
    <w:uiPriority w:val="99"/>
    <w:rsid w:val="00E83828"/>
  </w:style>
  <w:style w:type="paragraph" w:styleId="ListParagraph">
    <w:name w:val="List Paragraph"/>
    <w:basedOn w:val="Normal"/>
    <w:uiPriority w:val="34"/>
    <w:qFormat/>
    <w:rsid w:val="00E83828"/>
    <w:pPr>
      <w:ind w:left="720"/>
      <w:contextualSpacing/>
    </w:pPr>
  </w:style>
  <w:style w:type="character" w:styleId="Hyperlink">
    <w:name w:val="Hyperlink"/>
    <w:basedOn w:val="DefaultParagraphFont"/>
    <w:uiPriority w:val="99"/>
    <w:unhideWhenUsed/>
    <w:rsid w:val="00C35004"/>
    <w:rPr>
      <w:color w:val="0000FF" w:themeColor="hyperlink"/>
      <w:u w:val="single"/>
    </w:rPr>
  </w:style>
  <w:style w:type="character" w:styleId="Emphasis">
    <w:name w:val="Emphasis"/>
    <w:basedOn w:val="DefaultParagraphFont"/>
    <w:uiPriority w:val="20"/>
    <w:qFormat/>
    <w:rsid w:val="002A22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577343">
      <w:bodyDiv w:val="1"/>
      <w:marLeft w:val="0"/>
      <w:marRight w:val="0"/>
      <w:marTop w:val="0"/>
      <w:marBottom w:val="0"/>
      <w:divBdr>
        <w:top w:val="none" w:sz="0" w:space="0" w:color="auto"/>
        <w:left w:val="none" w:sz="0" w:space="0" w:color="auto"/>
        <w:bottom w:val="none" w:sz="0" w:space="0" w:color="auto"/>
        <w:right w:val="none" w:sz="0" w:space="0" w:color="auto"/>
      </w:divBdr>
    </w:div>
    <w:div w:id="503782444">
      <w:bodyDiv w:val="1"/>
      <w:marLeft w:val="0"/>
      <w:marRight w:val="0"/>
      <w:marTop w:val="0"/>
      <w:marBottom w:val="0"/>
      <w:divBdr>
        <w:top w:val="none" w:sz="0" w:space="0" w:color="auto"/>
        <w:left w:val="none" w:sz="0" w:space="0" w:color="auto"/>
        <w:bottom w:val="none" w:sz="0" w:space="0" w:color="auto"/>
        <w:right w:val="none" w:sz="0" w:space="0" w:color="auto"/>
      </w:divBdr>
    </w:div>
    <w:div w:id="721682768">
      <w:bodyDiv w:val="1"/>
      <w:marLeft w:val="0"/>
      <w:marRight w:val="0"/>
      <w:marTop w:val="0"/>
      <w:marBottom w:val="0"/>
      <w:divBdr>
        <w:top w:val="none" w:sz="0" w:space="0" w:color="auto"/>
        <w:left w:val="none" w:sz="0" w:space="0" w:color="auto"/>
        <w:bottom w:val="none" w:sz="0" w:space="0" w:color="auto"/>
        <w:right w:val="none" w:sz="0" w:space="0" w:color="auto"/>
      </w:divBdr>
      <w:divsChild>
        <w:div w:id="1802724461">
          <w:marLeft w:val="0"/>
          <w:marRight w:val="0"/>
          <w:marTop w:val="0"/>
          <w:marBottom w:val="0"/>
          <w:divBdr>
            <w:top w:val="none" w:sz="0" w:space="0" w:color="auto"/>
            <w:left w:val="none" w:sz="0" w:space="0" w:color="auto"/>
            <w:bottom w:val="none" w:sz="0" w:space="0" w:color="auto"/>
            <w:right w:val="none" w:sz="0" w:space="0" w:color="auto"/>
          </w:divBdr>
        </w:div>
        <w:div w:id="1148128557">
          <w:marLeft w:val="0"/>
          <w:marRight w:val="0"/>
          <w:marTop w:val="0"/>
          <w:marBottom w:val="0"/>
          <w:divBdr>
            <w:top w:val="none" w:sz="0" w:space="0" w:color="auto"/>
            <w:left w:val="none" w:sz="0" w:space="0" w:color="auto"/>
            <w:bottom w:val="none" w:sz="0" w:space="0" w:color="auto"/>
            <w:right w:val="none" w:sz="0" w:space="0" w:color="auto"/>
          </w:divBdr>
        </w:div>
        <w:div w:id="2000382207">
          <w:marLeft w:val="0"/>
          <w:marRight w:val="0"/>
          <w:marTop w:val="0"/>
          <w:marBottom w:val="0"/>
          <w:divBdr>
            <w:top w:val="none" w:sz="0" w:space="0" w:color="auto"/>
            <w:left w:val="none" w:sz="0" w:space="0" w:color="auto"/>
            <w:bottom w:val="none" w:sz="0" w:space="0" w:color="auto"/>
            <w:right w:val="none" w:sz="0" w:space="0" w:color="auto"/>
          </w:divBdr>
        </w:div>
        <w:div w:id="419909367">
          <w:marLeft w:val="0"/>
          <w:marRight w:val="0"/>
          <w:marTop w:val="0"/>
          <w:marBottom w:val="0"/>
          <w:divBdr>
            <w:top w:val="none" w:sz="0" w:space="0" w:color="auto"/>
            <w:left w:val="none" w:sz="0" w:space="0" w:color="auto"/>
            <w:bottom w:val="none" w:sz="0" w:space="0" w:color="auto"/>
            <w:right w:val="none" w:sz="0" w:space="0" w:color="auto"/>
          </w:divBdr>
        </w:div>
        <w:div w:id="1946036401">
          <w:marLeft w:val="0"/>
          <w:marRight w:val="0"/>
          <w:marTop w:val="0"/>
          <w:marBottom w:val="0"/>
          <w:divBdr>
            <w:top w:val="none" w:sz="0" w:space="0" w:color="auto"/>
            <w:left w:val="none" w:sz="0" w:space="0" w:color="auto"/>
            <w:bottom w:val="none" w:sz="0" w:space="0" w:color="auto"/>
            <w:right w:val="none" w:sz="0" w:space="0" w:color="auto"/>
          </w:divBdr>
        </w:div>
        <w:div w:id="737439698">
          <w:marLeft w:val="0"/>
          <w:marRight w:val="0"/>
          <w:marTop w:val="0"/>
          <w:marBottom w:val="0"/>
          <w:divBdr>
            <w:top w:val="none" w:sz="0" w:space="0" w:color="auto"/>
            <w:left w:val="none" w:sz="0" w:space="0" w:color="auto"/>
            <w:bottom w:val="none" w:sz="0" w:space="0" w:color="auto"/>
            <w:right w:val="none" w:sz="0" w:space="0" w:color="auto"/>
          </w:divBdr>
        </w:div>
        <w:div w:id="1993295761">
          <w:marLeft w:val="0"/>
          <w:marRight w:val="0"/>
          <w:marTop w:val="0"/>
          <w:marBottom w:val="0"/>
          <w:divBdr>
            <w:top w:val="none" w:sz="0" w:space="0" w:color="auto"/>
            <w:left w:val="none" w:sz="0" w:space="0" w:color="auto"/>
            <w:bottom w:val="none" w:sz="0" w:space="0" w:color="auto"/>
            <w:right w:val="none" w:sz="0" w:space="0" w:color="auto"/>
          </w:divBdr>
        </w:div>
      </w:divsChild>
    </w:div>
    <w:div w:id="1001159995">
      <w:bodyDiv w:val="1"/>
      <w:marLeft w:val="0"/>
      <w:marRight w:val="0"/>
      <w:marTop w:val="0"/>
      <w:marBottom w:val="0"/>
      <w:divBdr>
        <w:top w:val="none" w:sz="0" w:space="0" w:color="auto"/>
        <w:left w:val="none" w:sz="0" w:space="0" w:color="auto"/>
        <w:bottom w:val="none" w:sz="0" w:space="0" w:color="auto"/>
        <w:right w:val="none" w:sz="0" w:space="0" w:color="auto"/>
      </w:divBdr>
    </w:div>
    <w:div w:id="1044599933">
      <w:bodyDiv w:val="1"/>
      <w:marLeft w:val="0"/>
      <w:marRight w:val="0"/>
      <w:marTop w:val="0"/>
      <w:marBottom w:val="0"/>
      <w:divBdr>
        <w:top w:val="none" w:sz="0" w:space="0" w:color="auto"/>
        <w:left w:val="none" w:sz="0" w:space="0" w:color="auto"/>
        <w:bottom w:val="none" w:sz="0" w:space="0" w:color="auto"/>
        <w:right w:val="none" w:sz="0" w:space="0" w:color="auto"/>
      </w:divBdr>
    </w:div>
    <w:div w:id="17686945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ronson@brandeis.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2050</Words>
  <Characters>11690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Brookner</dc:creator>
  <cp:keywords/>
  <dc:description/>
  <cp:lastModifiedBy>Matt Brookner</cp:lastModifiedBy>
  <cp:revision>9</cp:revision>
  <dcterms:created xsi:type="dcterms:W3CDTF">2018-03-07T23:48:00Z</dcterms:created>
  <dcterms:modified xsi:type="dcterms:W3CDTF">2018-03-26T13:29:00Z</dcterms:modified>
</cp:coreProperties>
</file>