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3C6A5DA0" w:rsidR="00D02E48" w:rsidRPr="0006458F" w:rsidRDefault="001D2D62" w:rsidP="0006458F">
      <w:pPr>
        <w:pStyle w:val="Heading1"/>
      </w:pPr>
      <w:r>
        <w:t>Articles</w:t>
      </w:r>
    </w:p>
    <w:p w14:paraId="2CB67CCE" w14:textId="1489EC69" w:rsidR="00376A6D" w:rsidRDefault="001D2D62" w:rsidP="001D2D62">
      <w:pPr>
        <w:adjustRightInd w:val="0"/>
        <w:snapToGrid w:val="0"/>
        <w:rPr>
          <w:szCs w:val="22"/>
        </w:rPr>
      </w:pPr>
      <w:r>
        <w:rPr>
          <w:szCs w:val="22"/>
        </w:rPr>
        <w:t xml:space="preserve">The </w:t>
      </w:r>
      <w:r w:rsidRPr="001D2D62">
        <w:rPr>
          <w:b/>
          <w:bCs/>
          <w:szCs w:val="22"/>
        </w:rPr>
        <w:t>article</w:t>
      </w:r>
      <w:r>
        <w:rPr>
          <w:szCs w:val="22"/>
        </w:rPr>
        <w:t xml:space="preserve"> is a</w:t>
      </w:r>
      <w:r w:rsidRPr="001D2D62">
        <w:rPr>
          <w:szCs w:val="22"/>
        </w:rPr>
        <w:t>n important type of adjective</w:t>
      </w:r>
      <w:r>
        <w:rPr>
          <w:szCs w:val="22"/>
        </w:rPr>
        <w:t xml:space="preserve">. This handout will discuss the </w:t>
      </w:r>
      <w:r w:rsidR="00297B24">
        <w:rPr>
          <w:szCs w:val="22"/>
        </w:rPr>
        <w:t xml:space="preserve">two </w:t>
      </w:r>
      <w:r>
        <w:rPr>
          <w:szCs w:val="22"/>
        </w:rPr>
        <w:t>different types of articles, their purpose, and how they can be used properly in English writing.</w:t>
      </w:r>
    </w:p>
    <w:p w14:paraId="2921238E" w14:textId="2F61EB32" w:rsidR="001D2D62" w:rsidRDefault="001D2D62" w:rsidP="001D2D62">
      <w:pPr>
        <w:adjustRightInd w:val="0"/>
        <w:snapToGrid w:val="0"/>
        <w:rPr>
          <w:szCs w:val="22"/>
        </w:rPr>
      </w:pPr>
      <w:r w:rsidRPr="001D2D62">
        <w:rPr>
          <w:i/>
          <w:iCs/>
          <w:szCs w:val="22"/>
        </w:rPr>
        <w:t>A</w:t>
      </w:r>
      <w:r w:rsidRPr="001D2D62">
        <w:rPr>
          <w:szCs w:val="22"/>
        </w:rPr>
        <w:t xml:space="preserve"> and </w:t>
      </w:r>
      <w:r w:rsidRPr="001D2D62">
        <w:rPr>
          <w:i/>
          <w:iCs/>
          <w:szCs w:val="22"/>
        </w:rPr>
        <w:t>an</w:t>
      </w:r>
      <w:r w:rsidRPr="001D2D62">
        <w:rPr>
          <w:szCs w:val="22"/>
        </w:rPr>
        <w:t xml:space="preserve"> are </w:t>
      </w:r>
      <w:r w:rsidRPr="001D2D62">
        <w:rPr>
          <w:b/>
          <w:bCs/>
          <w:szCs w:val="22"/>
        </w:rPr>
        <w:t>indefinite articles</w:t>
      </w:r>
      <w:r w:rsidRPr="001D2D62">
        <w:rPr>
          <w:szCs w:val="22"/>
        </w:rPr>
        <w:t xml:space="preserve"> and refer to any member of a general group. </w:t>
      </w:r>
      <w:r w:rsidRPr="001D2D62">
        <w:rPr>
          <w:i/>
          <w:iCs/>
          <w:szCs w:val="22"/>
        </w:rPr>
        <w:t>A</w:t>
      </w:r>
      <w:r w:rsidRPr="001D2D62">
        <w:rPr>
          <w:szCs w:val="22"/>
        </w:rPr>
        <w:t xml:space="preserve"> is used</w:t>
      </w:r>
      <w:r>
        <w:rPr>
          <w:szCs w:val="22"/>
        </w:rPr>
        <w:t xml:space="preserve"> </w:t>
      </w:r>
      <w:r w:rsidRPr="001D2D62">
        <w:rPr>
          <w:szCs w:val="22"/>
        </w:rPr>
        <w:t xml:space="preserve">before singular words that start with consonant sounds. </w:t>
      </w:r>
      <w:r w:rsidRPr="001D2D62">
        <w:rPr>
          <w:i/>
          <w:iCs/>
          <w:szCs w:val="22"/>
        </w:rPr>
        <w:t>An</w:t>
      </w:r>
      <w:r w:rsidRPr="001D2D62">
        <w:rPr>
          <w:szCs w:val="22"/>
        </w:rPr>
        <w:t xml:space="preserve"> is used before singular</w:t>
      </w:r>
      <w:r>
        <w:rPr>
          <w:szCs w:val="22"/>
        </w:rPr>
        <w:t xml:space="preserve"> </w:t>
      </w:r>
      <w:r w:rsidRPr="001D2D62">
        <w:rPr>
          <w:szCs w:val="22"/>
        </w:rPr>
        <w:t xml:space="preserve">words starting with a vowel sound. Note: The choice between </w:t>
      </w:r>
      <w:r w:rsidRPr="001D2D62">
        <w:rPr>
          <w:i/>
          <w:iCs/>
          <w:szCs w:val="22"/>
        </w:rPr>
        <w:t>a</w:t>
      </w:r>
      <w:r w:rsidRPr="001D2D62">
        <w:rPr>
          <w:szCs w:val="22"/>
        </w:rPr>
        <w:t xml:space="preserve"> and </w:t>
      </w:r>
      <w:r w:rsidRPr="001D2D62">
        <w:rPr>
          <w:i/>
          <w:iCs/>
          <w:szCs w:val="22"/>
        </w:rPr>
        <w:t>an</w:t>
      </w:r>
      <w:r w:rsidRPr="001D2D62">
        <w:rPr>
          <w:szCs w:val="22"/>
        </w:rPr>
        <w:t xml:space="preserve"> </w:t>
      </w:r>
      <w:r w:rsidR="00297B24">
        <w:rPr>
          <w:szCs w:val="22"/>
        </w:rPr>
        <w:t>depends</w:t>
      </w:r>
      <w:r w:rsidRPr="001D2D62">
        <w:rPr>
          <w:szCs w:val="22"/>
        </w:rPr>
        <w:t xml:space="preserve"> on</w:t>
      </w:r>
      <w:r>
        <w:rPr>
          <w:szCs w:val="22"/>
        </w:rPr>
        <w:t xml:space="preserve"> </w:t>
      </w:r>
      <w:r w:rsidRPr="001D2D62">
        <w:rPr>
          <w:szCs w:val="22"/>
        </w:rPr>
        <w:t xml:space="preserve">sound, not on spelling! Hence one </w:t>
      </w:r>
      <w:r>
        <w:rPr>
          <w:szCs w:val="22"/>
        </w:rPr>
        <w:t xml:space="preserve">would </w:t>
      </w:r>
      <w:r w:rsidR="004B614F">
        <w:rPr>
          <w:szCs w:val="22"/>
        </w:rPr>
        <w:t>write</w:t>
      </w:r>
      <w:r w:rsidRPr="001D2D62">
        <w:rPr>
          <w:szCs w:val="22"/>
        </w:rPr>
        <w:t xml:space="preserve"> </w:t>
      </w:r>
      <w:r w:rsidR="004B614F">
        <w:rPr>
          <w:szCs w:val="22"/>
        </w:rPr>
        <w:t>“</w:t>
      </w:r>
      <w:r w:rsidRPr="00297B24">
        <w:rPr>
          <w:i/>
          <w:iCs/>
          <w:szCs w:val="22"/>
        </w:rPr>
        <w:t>a</w:t>
      </w:r>
      <w:r w:rsidRPr="001D2D62">
        <w:rPr>
          <w:szCs w:val="22"/>
        </w:rPr>
        <w:t xml:space="preserve"> European</w:t>
      </w:r>
      <w:r w:rsidR="004B614F">
        <w:rPr>
          <w:szCs w:val="22"/>
        </w:rPr>
        <w:t>”</w:t>
      </w:r>
      <w:r w:rsidRPr="001D2D62">
        <w:rPr>
          <w:szCs w:val="22"/>
        </w:rPr>
        <w:t xml:space="preserve"> and </w:t>
      </w:r>
      <w:r w:rsidR="004B614F">
        <w:rPr>
          <w:szCs w:val="22"/>
        </w:rPr>
        <w:t>“</w:t>
      </w:r>
      <w:r w:rsidRPr="00297B24">
        <w:rPr>
          <w:i/>
          <w:iCs/>
          <w:szCs w:val="22"/>
        </w:rPr>
        <w:t>an</w:t>
      </w:r>
      <w:r w:rsidRPr="001D2D62">
        <w:rPr>
          <w:szCs w:val="22"/>
        </w:rPr>
        <w:t xml:space="preserve"> honor.</w:t>
      </w:r>
      <w:r w:rsidR="004B614F">
        <w:rPr>
          <w:szCs w:val="22"/>
        </w:rPr>
        <w:t>”</w:t>
      </w:r>
      <w:r w:rsidRPr="001D2D62">
        <w:rPr>
          <w:szCs w:val="22"/>
        </w:rPr>
        <w:t xml:space="preserve"> If there is an</w:t>
      </w:r>
      <w:r>
        <w:rPr>
          <w:szCs w:val="22"/>
        </w:rPr>
        <w:t xml:space="preserve"> </w:t>
      </w:r>
      <w:r w:rsidRPr="001D2D62">
        <w:rPr>
          <w:szCs w:val="22"/>
        </w:rPr>
        <w:t>adjective between the article and the noun, the beginning sound of the adjective</w:t>
      </w:r>
      <w:r>
        <w:rPr>
          <w:szCs w:val="22"/>
        </w:rPr>
        <w:t xml:space="preserve"> </w:t>
      </w:r>
      <w:r w:rsidRPr="001D2D62">
        <w:rPr>
          <w:szCs w:val="22"/>
        </w:rPr>
        <w:t>determines whether a or an is used.</w:t>
      </w:r>
      <w:r w:rsidR="006A6C67">
        <w:rPr>
          <w:szCs w:val="22"/>
        </w:rPr>
        <w:t xml:space="preserve"> </w:t>
      </w:r>
      <w:r w:rsidR="004B614F">
        <w:rPr>
          <w:szCs w:val="22"/>
        </w:rPr>
        <w:t xml:space="preserve">Note also that plural words cannot take </w:t>
      </w:r>
      <w:r w:rsidR="004B614F">
        <w:rPr>
          <w:i/>
          <w:iCs/>
          <w:szCs w:val="22"/>
        </w:rPr>
        <w:t xml:space="preserve">a </w:t>
      </w:r>
      <w:r w:rsidR="004B614F">
        <w:rPr>
          <w:szCs w:val="22"/>
        </w:rPr>
        <w:t xml:space="preserve">or </w:t>
      </w:r>
      <w:r w:rsidR="004B614F">
        <w:rPr>
          <w:i/>
          <w:iCs/>
          <w:szCs w:val="22"/>
        </w:rPr>
        <w:t>an</w:t>
      </w:r>
      <w:r w:rsidR="004B614F">
        <w:rPr>
          <w:szCs w:val="22"/>
        </w:rPr>
        <w:t>.</w:t>
      </w:r>
    </w:p>
    <w:p w14:paraId="1D7D7C36" w14:textId="765A3927" w:rsidR="006A6C67" w:rsidRPr="004B614F" w:rsidRDefault="006A6C67" w:rsidP="001D2D62">
      <w:pPr>
        <w:adjustRightInd w:val="0"/>
        <w:snapToGrid w:val="0"/>
        <w:rPr>
          <w:szCs w:val="22"/>
        </w:rPr>
      </w:pPr>
      <w:r w:rsidRPr="006A6C67">
        <w:rPr>
          <w:i/>
          <w:iCs/>
          <w:szCs w:val="22"/>
        </w:rPr>
        <w:t>The</w:t>
      </w:r>
      <w:r w:rsidRPr="006A6C67">
        <w:rPr>
          <w:szCs w:val="22"/>
        </w:rPr>
        <w:t xml:space="preserve"> is a </w:t>
      </w:r>
      <w:r w:rsidRPr="006A6C67">
        <w:rPr>
          <w:b/>
          <w:bCs/>
          <w:szCs w:val="22"/>
        </w:rPr>
        <w:t>definite article</w:t>
      </w:r>
      <w:r w:rsidRPr="006A6C67">
        <w:rPr>
          <w:szCs w:val="22"/>
        </w:rPr>
        <w:t xml:space="preserve"> and refers to something specific.</w:t>
      </w:r>
    </w:p>
    <w:p w14:paraId="6497FD3B" w14:textId="1C551305" w:rsidR="00376A6D" w:rsidRDefault="004B614F" w:rsidP="00376A6D">
      <w:pPr>
        <w:pStyle w:val="Heading2"/>
      </w:pPr>
      <w:r>
        <w:t>Rules for Using Articles</w:t>
      </w:r>
    </w:p>
    <w:p w14:paraId="2C87DB92" w14:textId="22942528" w:rsidR="004B614F" w:rsidRDefault="004B614F" w:rsidP="004B614F">
      <w:pPr>
        <w:pStyle w:val="List"/>
      </w:pPr>
      <w:r>
        <w:t>Do not use an article with non-countable nouns (like air or love):</w:t>
      </w:r>
    </w:p>
    <w:p w14:paraId="3929F041" w14:textId="0A3F3477" w:rsidR="004B614F" w:rsidRDefault="004B614F" w:rsidP="00831036">
      <w:pPr>
        <w:pStyle w:val="ListBullet2"/>
      </w:pPr>
      <w:r w:rsidRPr="004B614F">
        <w:rPr>
          <w:i/>
          <w:iCs/>
        </w:rPr>
        <w:t>Would you like water?</w:t>
      </w:r>
      <w:r>
        <w:t xml:space="preserve"> (Note: If one wrote "a water" it would imply a bottle of</w:t>
      </w:r>
      <w:r w:rsidR="00831036">
        <w:t xml:space="preserve"> </w:t>
      </w:r>
      <w:r>
        <w:t>water, which, like a drop or a glass of water, is countable. Water itself,</w:t>
      </w:r>
      <w:r w:rsidR="00831036">
        <w:t xml:space="preserve"> </w:t>
      </w:r>
      <w:r>
        <w:t>like all liquids, is not countable.)</w:t>
      </w:r>
    </w:p>
    <w:p w14:paraId="3128C95D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French is his first language.</w:t>
      </w:r>
    </w:p>
    <w:p w14:paraId="04C1B4ED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Violence is a terrible thing.</w:t>
      </w:r>
    </w:p>
    <w:p w14:paraId="1646AE29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Organic chemistry was my least favorite subject.</w:t>
      </w:r>
    </w:p>
    <w:p w14:paraId="3A03CF2D" w14:textId="405CDABE" w:rsidR="004B614F" w:rsidRDefault="004B614F" w:rsidP="00297B24">
      <w:pPr>
        <w:pStyle w:val="List"/>
        <w:ind w:left="0" w:firstLine="0"/>
      </w:pPr>
      <w:r>
        <w:t>The definite article (</w:t>
      </w:r>
      <w:r w:rsidRPr="001007D2">
        <w:rPr>
          <w:i/>
          <w:iCs/>
        </w:rPr>
        <w:t>the</w:t>
      </w:r>
      <w:r>
        <w:t>) is used with non-countable nouns which have modifying phrases or clauses which limit (and thereby make more specific) the non-countable noun.</w:t>
      </w:r>
    </w:p>
    <w:p w14:paraId="3F2FCFC2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Would you like the water in my water bottle?</w:t>
      </w:r>
    </w:p>
    <w:p w14:paraId="0AF4C0E5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The French that he speaks is characterized by a Parisian accent.</w:t>
      </w:r>
    </w:p>
    <w:p w14:paraId="6A98CFE7" w14:textId="77777777" w:rsidR="004B614F" w:rsidRP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The violence in the Middle East is a source of constant worry.</w:t>
      </w:r>
    </w:p>
    <w:p w14:paraId="06C777AB" w14:textId="286225A2" w:rsidR="004B614F" w:rsidRDefault="004B614F" w:rsidP="004B614F">
      <w:pPr>
        <w:pStyle w:val="ListBullet2"/>
        <w:rPr>
          <w:i/>
          <w:iCs/>
        </w:rPr>
      </w:pPr>
      <w:r w:rsidRPr="004B614F">
        <w:rPr>
          <w:i/>
          <w:iCs/>
        </w:rPr>
        <w:t>The organic chemistry I learned last summer made me sure I did not want to be a doctor.</w:t>
      </w:r>
    </w:p>
    <w:p w14:paraId="528DC6C0" w14:textId="58FDD87E" w:rsidR="004B614F" w:rsidRDefault="004B614F" w:rsidP="004B614F">
      <w:pPr>
        <w:pStyle w:val="List"/>
      </w:pPr>
      <w:r>
        <w:t xml:space="preserve">Do </w:t>
      </w:r>
      <w:r w:rsidR="00742555">
        <w:t>NOT</w:t>
      </w:r>
      <w:r>
        <w:t xml:space="preserve"> use</w:t>
      </w:r>
      <w:r w:rsidRPr="004B614F">
        <w:t xml:space="preserve"> </w:t>
      </w:r>
      <w:r w:rsidR="00742555">
        <w:t xml:space="preserve">the </w:t>
      </w:r>
      <w:r>
        <w:t>definite article (</w:t>
      </w:r>
      <w:r w:rsidRPr="001007D2">
        <w:rPr>
          <w:i/>
          <w:iCs/>
        </w:rPr>
        <w:t>the</w:t>
      </w:r>
      <w:r>
        <w:t>) before:</w:t>
      </w:r>
    </w:p>
    <w:p w14:paraId="240E9CCD" w14:textId="2DDD0047" w:rsidR="004B614F" w:rsidRDefault="004B614F" w:rsidP="004B614F">
      <w:pPr>
        <w:pStyle w:val="ListBullet2"/>
      </w:pPr>
      <w:r>
        <w:t>names of countries (Italy</w:t>
      </w:r>
      <w:r w:rsidR="00A271D0">
        <w:t>;</w:t>
      </w:r>
      <w:r>
        <w:t xml:space="preserve"> Mexico</w:t>
      </w:r>
      <w:r w:rsidR="00A271D0">
        <w:t>;</w:t>
      </w:r>
      <w:r>
        <w:t xml:space="preserve"> Bolivia) </w:t>
      </w:r>
      <w:r w:rsidRPr="00742555">
        <w:rPr>
          <w:b/>
          <w:bCs/>
        </w:rPr>
        <w:t>except</w:t>
      </w:r>
      <w:r>
        <w:t xml:space="preserve"> </w:t>
      </w:r>
      <w:r w:rsidR="00742555">
        <w:t>countries that are groups of islands (the Bahamas), that have “the’ in their political title (the United Kingdom), or that people commonly refer to with “the” (</w:t>
      </w:r>
      <w:r>
        <w:t>the Netherlands</w:t>
      </w:r>
      <w:r w:rsidR="00742555">
        <w:t>).</w:t>
      </w:r>
    </w:p>
    <w:p w14:paraId="5FA23146" w14:textId="40F770A9" w:rsidR="004B614F" w:rsidRDefault="004B614F" w:rsidP="004B614F">
      <w:pPr>
        <w:pStyle w:val="ListBullet2"/>
      </w:pPr>
      <w:r>
        <w:t>names of cities, towns, or states (New York; Waltham, Massachusetts)</w:t>
      </w:r>
    </w:p>
    <w:p w14:paraId="6C492B3C" w14:textId="66180E9F" w:rsidR="004B614F" w:rsidRDefault="004B614F" w:rsidP="004B614F">
      <w:pPr>
        <w:pStyle w:val="ListBullet2"/>
      </w:pPr>
      <w:r>
        <w:t>names of streets (Moody Street</w:t>
      </w:r>
      <w:r w:rsidR="00742555">
        <w:t xml:space="preserve">; </w:t>
      </w:r>
      <w:r>
        <w:t>Massachusetts Avenue)</w:t>
      </w:r>
    </w:p>
    <w:p w14:paraId="53186FF5" w14:textId="413F5955" w:rsidR="004B614F" w:rsidRDefault="004B614F" w:rsidP="004B614F">
      <w:pPr>
        <w:pStyle w:val="ListBullet2"/>
      </w:pPr>
      <w:r>
        <w:lastRenderedPageBreak/>
        <w:t>names of lakes and bays (Lake Titicaca</w:t>
      </w:r>
      <w:r w:rsidR="00A271D0">
        <w:t>;</w:t>
      </w:r>
      <w:r>
        <w:t xml:space="preserve"> Lake Erie) </w:t>
      </w:r>
      <w:r w:rsidRPr="004B614F">
        <w:rPr>
          <w:b/>
          <w:bCs/>
        </w:rPr>
        <w:t>except</w:t>
      </w:r>
      <w:r>
        <w:t xml:space="preserve"> with a group of lakes </w:t>
      </w:r>
      <w:r w:rsidR="00A271D0">
        <w:t>(</w:t>
      </w:r>
      <w:r>
        <w:t>the Great Lakes</w:t>
      </w:r>
      <w:r w:rsidR="00A271D0">
        <w:t>)</w:t>
      </w:r>
    </w:p>
    <w:p w14:paraId="500DD376" w14:textId="19986ED9" w:rsidR="004B614F" w:rsidRDefault="004B614F" w:rsidP="004B614F">
      <w:pPr>
        <w:pStyle w:val="ListBullet2"/>
      </w:pPr>
      <w:r>
        <w:t>names of mountains (Mount Everest</w:t>
      </w:r>
      <w:r w:rsidR="00A271D0">
        <w:t>;</w:t>
      </w:r>
      <w:r>
        <w:t xml:space="preserve"> Mount </w:t>
      </w:r>
      <w:r w:rsidR="00742555">
        <w:t>Kilimanjaro</w:t>
      </w:r>
      <w:r>
        <w:t xml:space="preserve">) </w:t>
      </w:r>
      <w:r w:rsidRPr="004B614F">
        <w:rPr>
          <w:b/>
          <w:bCs/>
        </w:rPr>
        <w:t>except</w:t>
      </w:r>
      <w:r>
        <w:t xml:space="preserve"> with </w:t>
      </w:r>
      <w:r w:rsidR="00831036">
        <w:t xml:space="preserve">ranges of mountains (the Alps; the Himalayas) or </w:t>
      </w:r>
      <w:r>
        <w:t xml:space="preserve">unusual names </w:t>
      </w:r>
      <w:r w:rsidR="00A271D0">
        <w:t xml:space="preserve">(the </w:t>
      </w:r>
      <w:r>
        <w:t>Matterhorn</w:t>
      </w:r>
      <w:r w:rsidR="00A271D0">
        <w:t>)</w:t>
      </w:r>
    </w:p>
    <w:p w14:paraId="3D7628AA" w14:textId="6507FAE1" w:rsidR="004B614F" w:rsidRDefault="004B614F" w:rsidP="004B614F">
      <w:pPr>
        <w:pStyle w:val="ListBullet2"/>
      </w:pPr>
      <w:r>
        <w:t>names of continents (North America</w:t>
      </w:r>
      <w:r w:rsidR="00A271D0">
        <w:t>;</w:t>
      </w:r>
      <w:r>
        <w:t xml:space="preserve"> A</w:t>
      </w:r>
      <w:r w:rsidR="00742555">
        <w:t>ustralia</w:t>
      </w:r>
      <w:r>
        <w:t>)</w:t>
      </w:r>
    </w:p>
    <w:p w14:paraId="584A70DF" w14:textId="3253C67D" w:rsidR="004B614F" w:rsidRDefault="004B614F" w:rsidP="004B614F">
      <w:pPr>
        <w:pStyle w:val="ListBullet2"/>
      </w:pPr>
      <w:r>
        <w:t>names of islands (Easter Island</w:t>
      </w:r>
      <w:r w:rsidR="00A271D0">
        <w:t>;</w:t>
      </w:r>
      <w:r>
        <w:t xml:space="preserve"> Nantucket</w:t>
      </w:r>
      <w:r w:rsidR="00A271D0">
        <w:t>;</w:t>
      </w:r>
      <w:r>
        <w:t xml:space="preserve"> Key West) </w:t>
      </w:r>
      <w:r w:rsidRPr="004B614F">
        <w:rPr>
          <w:b/>
          <w:bCs/>
        </w:rPr>
        <w:t>except</w:t>
      </w:r>
      <w:r>
        <w:t xml:space="preserve"> with </w:t>
      </w:r>
      <w:r w:rsidR="00742555">
        <w:t>the Isle of Man</w:t>
      </w:r>
      <w:r w:rsidR="00831036">
        <w:t xml:space="preserve"> and </w:t>
      </w:r>
      <w:r w:rsidR="00A271D0">
        <w:t xml:space="preserve">with </w:t>
      </w:r>
      <w:r w:rsidR="00831036">
        <w:t xml:space="preserve">island chains </w:t>
      </w:r>
      <w:r w:rsidR="00A271D0">
        <w:t>(</w:t>
      </w:r>
      <w:r w:rsidR="00831036">
        <w:t>the Aleutians</w:t>
      </w:r>
      <w:r w:rsidR="00A271D0">
        <w:t>;</w:t>
      </w:r>
      <w:r w:rsidR="00831036">
        <w:t xml:space="preserve"> the Canary Islands</w:t>
      </w:r>
      <w:r w:rsidR="00A271D0">
        <w:t>)</w:t>
      </w:r>
    </w:p>
    <w:p w14:paraId="1D1DDE17" w14:textId="77777777" w:rsidR="00A83179" w:rsidRDefault="00A83179" w:rsidP="00A83179">
      <w:pPr>
        <w:pStyle w:val="List"/>
      </w:pPr>
      <w:r>
        <w:t>DO use the definite article (the) before:</w:t>
      </w:r>
    </w:p>
    <w:p w14:paraId="56D3F318" w14:textId="24945842" w:rsidR="00A83179" w:rsidRDefault="00A83179" w:rsidP="00A83179">
      <w:pPr>
        <w:pStyle w:val="ListBullet2"/>
      </w:pPr>
      <w:r>
        <w:t>names of rivers, oceans and seas (the Nile</w:t>
      </w:r>
      <w:r w:rsidR="00831036">
        <w:t xml:space="preserve">; </w:t>
      </w:r>
      <w:r>
        <w:t>the Atlantic</w:t>
      </w:r>
      <w:r w:rsidR="00831036">
        <w:t>; the Baltic Sea</w:t>
      </w:r>
      <w:r>
        <w:t>)</w:t>
      </w:r>
    </w:p>
    <w:p w14:paraId="1C21C3C1" w14:textId="2C33C9CE" w:rsidR="00A83179" w:rsidRDefault="00A83179" w:rsidP="00A83179">
      <w:pPr>
        <w:pStyle w:val="ListBullet2"/>
      </w:pPr>
      <w:r>
        <w:t>points on the globe (the Equator</w:t>
      </w:r>
      <w:r w:rsidR="00831036">
        <w:t xml:space="preserve">; </w:t>
      </w:r>
      <w:r>
        <w:t>the North Pole)</w:t>
      </w:r>
    </w:p>
    <w:p w14:paraId="565F7A09" w14:textId="33342129" w:rsidR="00A83179" w:rsidRDefault="00A83179" w:rsidP="00A83179">
      <w:pPr>
        <w:pStyle w:val="ListBullet2"/>
      </w:pPr>
      <w:r>
        <w:t>geographical</w:t>
      </w:r>
      <w:r w:rsidR="00831036">
        <w:t>/cultural</w:t>
      </w:r>
      <w:r>
        <w:t xml:space="preserve"> areas (the Middle East</w:t>
      </w:r>
      <w:r w:rsidR="00831036">
        <w:t>;</w:t>
      </w:r>
      <w:r>
        <w:t xml:space="preserve"> the West)</w:t>
      </w:r>
    </w:p>
    <w:p w14:paraId="29EB9969" w14:textId="050E681B" w:rsidR="00831036" w:rsidRDefault="00A83179" w:rsidP="00831036">
      <w:pPr>
        <w:pStyle w:val="ListBullet2"/>
      </w:pPr>
      <w:r>
        <w:t xml:space="preserve">deserts, forests, gulfs, </w:t>
      </w:r>
      <w:r w:rsidR="00831036">
        <w:t>straits, and</w:t>
      </w:r>
      <w:r>
        <w:t xml:space="preserve"> peninsulas (the Sahara</w:t>
      </w:r>
      <w:r w:rsidR="00831036">
        <w:t>;</w:t>
      </w:r>
      <w:r>
        <w:t xml:space="preserve"> the Black Forest</w:t>
      </w:r>
      <w:r w:rsidR="00831036">
        <w:t xml:space="preserve">; the Persian Gulf; the Strait of Gibraltar; </w:t>
      </w:r>
      <w:r>
        <w:t>the Iberian Peninsula)</w:t>
      </w:r>
    </w:p>
    <w:p w14:paraId="32FEFE97" w14:textId="59D5550E" w:rsidR="00831036" w:rsidRDefault="00831036" w:rsidP="00831036">
      <w:pPr>
        <w:pStyle w:val="Heading2"/>
      </w:pPr>
      <w:r>
        <w:t>Exercises</w:t>
      </w:r>
    </w:p>
    <w:p w14:paraId="514F6532" w14:textId="2C109402" w:rsidR="00831036" w:rsidRDefault="00831036" w:rsidP="00831036">
      <w:r>
        <w:t xml:space="preserve">Determine if the empty space should have an article or not. If the space needs an article, fill in </w:t>
      </w:r>
      <w:r w:rsidRPr="001007D2">
        <w:rPr>
          <w:i/>
          <w:iCs/>
        </w:rPr>
        <w:t>a</w:t>
      </w:r>
      <w:r>
        <w:t xml:space="preserve">, </w:t>
      </w:r>
      <w:r w:rsidRPr="001007D2">
        <w:rPr>
          <w:i/>
          <w:iCs/>
        </w:rPr>
        <w:t>an</w:t>
      </w:r>
      <w:r>
        <w:t xml:space="preserve">, or </w:t>
      </w:r>
      <w:r w:rsidRPr="001007D2">
        <w:rPr>
          <w:i/>
          <w:iCs/>
        </w:rPr>
        <w:t>the</w:t>
      </w:r>
      <w:r>
        <w:t xml:space="preserve"> in accordance with article rules.</w:t>
      </w:r>
    </w:p>
    <w:p w14:paraId="6DEA08A0" w14:textId="35EAE2B7" w:rsidR="00831036" w:rsidRDefault="00831036" w:rsidP="00831036">
      <w:pPr>
        <w:pStyle w:val="ListNumber"/>
      </w:pPr>
      <w:r>
        <w:t>I earned (blank) honorable mention on my essay.</w:t>
      </w:r>
    </w:p>
    <w:p w14:paraId="4659DDAF" w14:textId="0404EF17" w:rsidR="00831036" w:rsidRDefault="00831036" w:rsidP="00831036">
      <w:pPr>
        <w:pStyle w:val="ListNumber"/>
      </w:pPr>
      <w:r>
        <w:t>My friend sent me postcards from (blank) Italy, (blank) Germany, and (blank) Netherlands.</w:t>
      </w:r>
    </w:p>
    <w:p w14:paraId="009A4A49" w14:textId="712308D6" w:rsidR="00831036" w:rsidRDefault="00831036" w:rsidP="00831036">
      <w:pPr>
        <w:pStyle w:val="ListNumber"/>
      </w:pPr>
      <w:r>
        <w:t>John Lennon told us that (blank) love is the answer.</w:t>
      </w:r>
    </w:p>
    <w:p w14:paraId="0BC74491" w14:textId="31D7E8C2" w:rsidR="00831036" w:rsidRPr="001007D2" w:rsidRDefault="00831036" w:rsidP="00831036">
      <w:pPr>
        <w:pStyle w:val="ListNumber"/>
      </w:pPr>
      <w:r w:rsidRPr="001007D2">
        <w:t>From sailing across (blank) Pacific Ocean and living in (blank) Middle East, I have learned that one must have (blank) courage to stick to their convictions.</w:t>
      </w:r>
    </w:p>
    <w:p w14:paraId="29749C28" w14:textId="4182999D" w:rsidR="00831036" w:rsidRPr="001007D2" w:rsidRDefault="00A271D0" w:rsidP="006A6C67">
      <w:pPr>
        <w:pStyle w:val="ListNumber"/>
      </w:pPr>
      <w:r>
        <w:t>Ava works for (blank) Egyptian company that specializes in (blank) information technology.</w:t>
      </w:r>
    </w:p>
    <w:p w14:paraId="79976532" w14:textId="494FF3D1" w:rsidR="00831036" w:rsidRDefault="00831036" w:rsidP="00831036">
      <w:pPr>
        <w:pStyle w:val="ListNumber"/>
      </w:pPr>
      <w:r>
        <w:t>I am taking classes to learn (blank) Spanish so that I can kayak (blank) Amazon River.</w:t>
      </w:r>
    </w:p>
    <w:p w14:paraId="401237FC" w14:textId="0BB28600" w:rsidR="00831036" w:rsidRDefault="00831036" w:rsidP="00831036">
      <w:pPr>
        <w:pStyle w:val="ListNumber"/>
      </w:pPr>
      <w:r>
        <w:t xml:space="preserve">My cousin wants to be (blank) </w:t>
      </w:r>
      <w:r w:rsidR="00DD4FD4">
        <w:t>Youtuber</w:t>
      </w:r>
      <w:r>
        <w:t xml:space="preserve"> when he grows up.</w:t>
      </w:r>
    </w:p>
    <w:p w14:paraId="682CE11C" w14:textId="45C4A525" w:rsidR="00831036" w:rsidRPr="00831036" w:rsidRDefault="00831036" w:rsidP="00831036">
      <w:pPr>
        <w:pStyle w:val="ListNumber"/>
      </w:pPr>
      <w:r>
        <w:t>(blank) Sahara is the biggest desert in the world.</w:t>
      </w:r>
    </w:p>
    <w:p w14:paraId="2B2E5C66" w14:textId="46142641" w:rsidR="006A6C67" w:rsidRPr="00297B24" w:rsidRDefault="006A6C67" w:rsidP="00297B24">
      <w:pPr>
        <w:pStyle w:val="Credit"/>
      </w:pPr>
      <w:r w:rsidRPr="00297B24">
        <w:t xml:space="preserve">Answers: </w:t>
      </w:r>
      <w:r w:rsidR="007142AF" w:rsidRPr="00297B24">
        <w:t xml:space="preserve">1, an; 2, blank, blank, the; 3, blank; 4, the, the, the; 5, </w:t>
      </w:r>
      <w:r w:rsidR="00A271D0">
        <w:t>an, blank</w:t>
      </w:r>
      <w:r w:rsidR="007142AF" w:rsidRPr="00297B24">
        <w:t xml:space="preserve">; 6, blank, the; 7, a; 8, </w:t>
      </w:r>
      <w:r w:rsidR="00DD4FD4">
        <w:t>T</w:t>
      </w:r>
      <w:r w:rsidR="007142AF" w:rsidRPr="00297B24">
        <w:t>he.</w:t>
      </w:r>
    </w:p>
    <w:p w14:paraId="179B43EE" w14:textId="61AA9A13" w:rsidR="006A6C67" w:rsidRPr="00297B24" w:rsidRDefault="001D3966" w:rsidP="00A271D0">
      <w:pPr>
        <w:pStyle w:val="Credit"/>
        <w:spacing w:after="360"/>
      </w:pPr>
      <w:r w:rsidRPr="00297B24">
        <w:t>Credit</w:t>
      </w:r>
      <w:r w:rsidR="00E177E7" w:rsidRPr="00297B24">
        <w:t xml:space="preserve">: </w:t>
      </w:r>
      <w:r w:rsidR="006A6C67" w:rsidRPr="00297B24">
        <w:t>Adapted from the Online Writing Lab at Purdue</w:t>
      </w:r>
      <w:r w:rsidR="001007D2" w:rsidRPr="00297B24">
        <w:t xml:space="preserve">, and from Lydia Fash, </w:t>
      </w:r>
      <w:r w:rsidR="00376A6D" w:rsidRPr="00297B24">
        <w:t>University Writing Program</w:t>
      </w:r>
      <w:r w:rsidR="006A6C67" w:rsidRPr="00297B24">
        <w:t>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1BBF62A6" w14:textId="74179D0C" w:rsidR="00C615E5" w:rsidRPr="00C615E5" w:rsidRDefault="00E177E7" w:rsidP="00A83179">
      <w:pPr>
        <w:pStyle w:val="WritingProgramCredit"/>
      </w:pPr>
      <w:r w:rsidRPr="00C13E78">
        <w:t xml:space="preserve">For more information, see </w:t>
      </w:r>
      <w:proofErr w:type="spellStart"/>
      <w:r w:rsidR="00535477" w:rsidRPr="001D5302">
        <w:t>www.brandeis.edu</w:t>
      </w:r>
      <w:proofErr w:type="spellEnd"/>
      <w:r w:rsidR="00535477" w:rsidRPr="001D5302">
        <w:t>/UWP</w:t>
      </w:r>
      <w:r w:rsidRPr="00C13E78">
        <w:t xml:space="preserve"> or write to </w:t>
      </w:r>
      <w:proofErr w:type="spellStart"/>
      <w:r w:rsidRPr="001D5302">
        <w:t>UWP@brandeis.edu</w:t>
      </w:r>
      <w:proofErr w:type="spellEnd"/>
      <w:r w:rsidRPr="00C13E78">
        <w:t>.</w:t>
      </w:r>
    </w:p>
    <w:sectPr w:rsidR="00C615E5" w:rsidRPr="00C615E5" w:rsidSect="004F1C5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B50F" w14:textId="77777777" w:rsidR="00011C9D" w:rsidRDefault="00011C9D">
      <w:r>
        <w:separator/>
      </w:r>
    </w:p>
  </w:endnote>
  <w:endnote w:type="continuationSeparator" w:id="0">
    <w:p w14:paraId="529FD723" w14:textId="77777777" w:rsidR="00011C9D" w:rsidRDefault="000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77E6" w14:textId="77777777" w:rsidR="00011C9D" w:rsidRDefault="00011C9D">
      <w:r>
        <w:separator/>
      </w:r>
    </w:p>
  </w:footnote>
  <w:footnote w:type="continuationSeparator" w:id="0">
    <w:p w14:paraId="0F07D9BC" w14:textId="77777777" w:rsidR="00011C9D" w:rsidRDefault="0001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011C9D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30F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0AD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BC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DE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CCB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A36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8DB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8D9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2"/>
  </w:num>
  <w:num w:numId="22">
    <w:abstractNumId w:val="11"/>
  </w:num>
  <w:num w:numId="23">
    <w:abstractNumId w:val="10"/>
  </w:num>
  <w:num w:numId="24">
    <w:abstractNumId w:val="20"/>
  </w:num>
  <w:num w:numId="25">
    <w:abstractNumId w:val="13"/>
  </w:num>
  <w:num w:numId="26">
    <w:abstractNumId w:val="21"/>
  </w:num>
  <w:num w:numId="27">
    <w:abstractNumId w:val="24"/>
  </w:num>
  <w:num w:numId="28">
    <w:abstractNumId w:val="23"/>
  </w:num>
  <w:num w:numId="29">
    <w:abstractNumId w:val="12"/>
  </w:num>
  <w:num w:numId="30">
    <w:abstractNumId w:val="15"/>
  </w:num>
  <w:num w:numId="31">
    <w:abstractNumId w:val="17"/>
  </w:num>
  <w:num w:numId="32">
    <w:abstractNumId w:val="19"/>
  </w:num>
  <w:num w:numId="3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1C9D"/>
    <w:rsid w:val="00012C5F"/>
    <w:rsid w:val="00012EA3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07D2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86020"/>
    <w:rsid w:val="001A64BB"/>
    <w:rsid w:val="001A66A5"/>
    <w:rsid w:val="001A6B77"/>
    <w:rsid w:val="001A7B7A"/>
    <w:rsid w:val="001D2D62"/>
    <w:rsid w:val="001D3966"/>
    <w:rsid w:val="001D5302"/>
    <w:rsid w:val="002135F3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97B24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B614F"/>
    <w:rsid w:val="004C6094"/>
    <w:rsid w:val="004C7EC8"/>
    <w:rsid w:val="004E14BC"/>
    <w:rsid w:val="004F0A7E"/>
    <w:rsid w:val="004F1C57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463A1"/>
    <w:rsid w:val="006644C2"/>
    <w:rsid w:val="00690A1A"/>
    <w:rsid w:val="006A0587"/>
    <w:rsid w:val="006A1C82"/>
    <w:rsid w:val="006A51F5"/>
    <w:rsid w:val="006A6C67"/>
    <w:rsid w:val="006B236F"/>
    <w:rsid w:val="006C174F"/>
    <w:rsid w:val="006D5411"/>
    <w:rsid w:val="006E37D5"/>
    <w:rsid w:val="006E65E7"/>
    <w:rsid w:val="006F3EC3"/>
    <w:rsid w:val="007142AF"/>
    <w:rsid w:val="007265B1"/>
    <w:rsid w:val="00742555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7E00"/>
    <w:rsid w:val="0080302F"/>
    <w:rsid w:val="00804E18"/>
    <w:rsid w:val="008159D9"/>
    <w:rsid w:val="00831036"/>
    <w:rsid w:val="00843254"/>
    <w:rsid w:val="00845275"/>
    <w:rsid w:val="00855A60"/>
    <w:rsid w:val="008A3027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409D"/>
    <w:rsid w:val="00965461"/>
    <w:rsid w:val="0096705B"/>
    <w:rsid w:val="00975C7F"/>
    <w:rsid w:val="00977204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271D0"/>
    <w:rsid w:val="00A34F4A"/>
    <w:rsid w:val="00A46A45"/>
    <w:rsid w:val="00A46F84"/>
    <w:rsid w:val="00A47BB0"/>
    <w:rsid w:val="00A47CA5"/>
    <w:rsid w:val="00A50E0F"/>
    <w:rsid w:val="00A61432"/>
    <w:rsid w:val="00A65573"/>
    <w:rsid w:val="00A83179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3E28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4241"/>
    <w:rsid w:val="00C547A3"/>
    <w:rsid w:val="00C615E5"/>
    <w:rsid w:val="00C75676"/>
    <w:rsid w:val="00C803A4"/>
    <w:rsid w:val="00C959A3"/>
    <w:rsid w:val="00C97E2F"/>
    <w:rsid w:val="00CB1B9E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083"/>
    <w:rsid w:val="00DC2CD7"/>
    <w:rsid w:val="00DC7F73"/>
    <w:rsid w:val="00DD4FD4"/>
    <w:rsid w:val="00DE4667"/>
    <w:rsid w:val="00DE5AB8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375C1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Bullet2">
    <w:name w:val="List Bullet 2"/>
    <w:basedOn w:val="Normal"/>
    <w:uiPriority w:val="99"/>
    <w:unhideWhenUsed/>
    <w:rsid w:val="004B614F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687</Words>
  <Characters>3481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Reading an Email</vt:lpstr>
    </vt:vector>
  </TitlesOfParts>
  <Manager/>
  <Company>Brandeis University</Company>
  <LinksUpToDate>false</LinksUpToDate>
  <CharactersWithSpaces>4144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</dc:title>
  <dc:subject/>
  <dc:creator>University Writing Program</dc:creator>
  <cp:keywords>grammar, word choice</cp:keywords>
  <dc:description/>
  <cp:lastModifiedBy>Robert Cochran</cp:lastModifiedBy>
  <cp:revision>33</cp:revision>
  <cp:lastPrinted>2020-07-13T17:52:00Z</cp:lastPrinted>
  <dcterms:created xsi:type="dcterms:W3CDTF">2020-07-30T13:12:00Z</dcterms:created>
  <dcterms:modified xsi:type="dcterms:W3CDTF">2020-08-28T15:56:00Z</dcterms:modified>
  <cp:category/>
</cp:coreProperties>
</file>