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11D033E9" w:rsidR="00D02E48" w:rsidRPr="0006458F" w:rsidRDefault="000747F1" w:rsidP="0006458F">
      <w:pPr>
        <w:pStyle w:val="Heading1"/>
      </w:pPr>
      <w:r w:rsidRPr="000747F1">
        <w:t>Phrases for Introducing Sources and Quotations</w:t>
      </w:r>
    </w:p>
    <w:p w14:paraId="6188A16A" w14:textId="01CEDFF4" w:rsidR="005F5827" w:rsidRDefault="005F5827" w:rsidP="005F5827">
      <w:pPr>
        <w:pStyle w:val="Heading2"/>
      </w:pPr>
      <w:r>
        <w:t>Capturing Authorial Action through Summaries or Paraphrasing</w:t>
      </w:r>
    </w:p>
    <w:p w14:paraId="51A538E6" w14:textId="6F8BED37" w:rsidR="005F5827" w:rsidRDefault="005F5827" w:rsidP="005F5827">
      <w:pPr>
        <w:spacing w:after="240"/>
      </w:pPr>
      <w:r>
        <w:t xml:space="preserve">These phrases alert </w:t>
      </w:r>
      <w:r w:rsidR="00F3631D">
        <w:t xml:space="preserve">your </w:t>
      </w:r>
      <w:r>
        <w:t xml:space="preserve">reader that </w:t>
      </w:r>
      <w:r w:rsidR="00F3631D">
        <w:t>you as a</w:t>
      </w:r>
      <w:r>
        <w:t xml:space="preserve"> </w:t>
      </w:r>
      <w:r w:rsidR="00F3631D">
        <w:t>writer</w:t>
      </w:r>
      <w:r>
        <w:t xml:space="preserve"> </w:t>
      </w:r>
      <w:r w:rsidR="00F3631D">
        <w:t>are</w:t>
      </w:r>
      <w:r>
        <w:t xml:space="preserve"> about to summarize or paraphrase another idea established by an authority on a chosen topic. </w:t>
      </w:r>
      <w:r w:rsidR="00F3631D">
        <w:t xml:space="preserve">Note that while </w:t>
      </w:r>
      <w:r>
        <w:t xml:space="preserve">some of these are quite neutral, others allow </w:t>
      </w:r>
      <w:r w:rsidR="00F3631D">
        <w:t>you</w:t>
      </w:r>
      <w:r>
        <w:t xml:space="preserve"> to imply things about the quote’s tone, similarity, contrast, and</w:t>
      </w:r>
      <w:r w:rsidR="00175FFA">
        <w:t>/or</w:t>
      </w:r>
      <w:r>
        <w:t xml:space="preserve"> significance in relation to other sources or to </w:t>
      </w:r>
      <w:r w:rsidR="00F3631D">
        <w:t>your</w:t>
      </w:r>
      <w:r>
        <w:t xml:space="preserve"> larger argument.</w:t>
      </w:r>
      <w:r w:rsidR="008360E2">
        <w:t xml:space="preserve"> </w:t>
      </w:r>
    </w:p>
    <w:p w14:paraId="4A849DC8" w14:textId="77777777" w:rsidR="005F5827" w:rsidRDefault="005F5827" w:rsidP="005F5827">
      <w:pPr>
        <w:pStyle w:val="Heading3"/>
      </w:pPr>
      <w:r>
        <w:t>Author X…</w:t>
      </w:r>
    </w:p>
    <w:p w14:paraId="56B77B2E" w14:textId="77777777" w:rsidR="005F5827" w:rsidRDefault="005F5827" w:rsidP="005F5827">
      <w:pPr>
        <w:pStyle w:val="ListBullet"/>
        <w:sectPr w:rsidR="005F5827" w:rsidSect="009A6E8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space="720"/>
          <w:titlePg/>
          <w:docGrid w:linePitch="326"/>
        </w:sectPr>
      </w:pPr>
    </w:p>
    <w:p w14:paraId="1474AA84" w14:textId="77777777" w:rsidR="008360E2" w:rsidRDefault="008360E2" w:rsidP="005F5827">
      <w:pPr>
        <w:pStyle w:val="ListBullet"/>
      </w:pPr>
      <w:r w:rsidRPr="00FA24A0">
        <w:rPr>
          <w:i/>
          <w:iCs/>
        </w:rPr>
        <w:t>acknowledges that</w:t>
      </w:r>
      <w:r>
        <w:t xml:space="preserve"> [blank].</w:t>
      </w:r>
    </w:p>
    <w:p w14:paraId="5ABE3902" w14:textId="77777777" w:rsidR="008360E2" w:rsidRDefault="008360E2" w:rsidP="005F5827">
      <w:pPr>
        <w:pStyle w:val="ListBullet"/>
      </w:pPr>
      <w:r w:rsidRPr="00FA24A0">
        <w:rPr>
          <w:i/>
          <w:iCs/>
        </w:rPr>
        <w:t>agrees that</w:t>
      </w:r>
      <w:r>
        <w:t xml:space="preserve"> [blank].</w:t>
      </w:r>
    </w:p>
    <w:p w14:paraId="4E9DDE43" w14:textId="77777777" w:rsidR="008360E2" w:rsidRDefault="008360E2" w:rsidP="005F5827">
      <w:pPr>
        <w:pStyle w:val="ListBullet"/>
      </w:pPr>
      <w:r w:rsidRPr="00FA24A0">
        <w:rPr>
          <w:i/>
          <w:iCs/>
        </w:rPr>
        <w:t>argues that</w:t>
      </w:r>
      <w:r>
        <w:t xml:space="preserve"> [blank].</w:t>
      </w:r>
    </w:p>
    <w:p w14:paraId="196496B2" w14:textId="77777777" w:rsidR="008360E2" w:rsidRDefault="008360E2" w:rsidP="005F5827">
      <w:pPr>
        <w:pStyle w:val="ListBullet"/>
      </w:pPr>
      <w:r w:rsidRPr="00FA24A0">
        <w:rPr>
          <w:i/>
          <w:iCs/>
        </w:rPr>
        <w:t>believes that</w:t>
      </w:r>
      <w:r>
        <w:t xml:space="preserve"> [blank].</w:t>
      </w:r>
    </w:p>
    <w:p w14:paraId="42F5E2C9" w14:textId="77777777" w:rsidR="008360E2" w:rsidRDefault="008360E2" w:rsidP="005F5827">
      <w:pPr>
        <w:pStyle w:val="ListBullet"/>
      </w:pPr>
      <w:r w:rsidRPr="00FA24A0">
        <w:rPr>
          <w:i/>
          <w:iCs/>
        </w:rPr>
        <w:t>celebrates the fact that</w:t>
      </w:r>
      <w:r>
        <w:t xml:space="preserve"> [blank].</w:t>
      </w:r>
    </w:p>
    <w:p w14:paraId="6E0A14BB" w14:textId="77777777" w:rsidR="008360E2" w:rsidRDefault="008360E2" w:rsidP="005F5827">
      <w:pPr>
        <w:pStyle w:val="ListBullet"/>
      </w:pPr>
      <w:r w:rsidRPr="00FA24A0">
        <w:rPr>
          <w:i/>
          <w:iCs/>
        </w:rPr>
        <w:t>claims that</w:t>
      </w:r>
      <w:r>
        <w:t xml:space="preserve"> [blank].</w:t>
      </w:r>
    </w:p>
    <w:p w14:paraId="13CA305D" w14:textId="77777777" w:rsidR="008360E2" w:rsidRDefault="008360E2" w:rsidP="005F5827">
      <w:pPr>
        <w:pStyle w:val="ListBullet"/>
      </w:pPr>
      <w:r w:rsidRPr="00FA24A0">
        <w:rPr>
          <w:i/>
          <w:iCs/>
        </w:rPr>
        <w:t>complains that</w:t>
      </w:r>
      <w:r>
        <w:t xml:space="preserve"> [blank].</w:t>
      </w:r>
    </w:p>
    <w:p w14:paraId="4EAE1EF3" w14:textId="77777777" w:rsidR="008360E2" w:rsidRDefault="008360E2" w:rsidP="005F5827">
      <w:pPr>
        <w:pStyle w:val="ListBullet"/>
      </w:pPr>
      <w:r w:rsidRPr="00FA24A0">
        <w:rPr>
          <w:i/>
          <w:iCs/>
        </w:rPr>
        <w:t>concedes that</w:t>
      </w:r>
      <w:r>
        <w:t xml:space="preserve"> [blank].</w:t>
      </w:r>
    </w:p>
    <w:p w14:paraId="08E62ED7" w14:textId="77777777" w:rsidR="008360E2" w:rsidRDefault="008360E2" w:rsidP="005F5827">
      <w:pPr>
        <w:pStyle w:val="ListBullet"/>
      </w:pPr>
      <w:r w:rsidRPr="00FA24A0">
        <w:rPr>
          <w:i/>
          <w:iCs/>
        </w:rPr>
        <w:t>demonstrates that</w:t>
      </w:r>
      <w:r>
        <w:t xml:space="preserve"> [blank].</w:t>
      </w:r>
    </w:p>
    <w:p w14:paraId="019FAA6D" w14:textId="77777777" w:rsidR="008360E2" w:rsidRDefault="008360E2" w:rsidP="005F5827">
      <w:pPr>
        <w:pStyle w:val="ListBullet"/>
      </w:pPr>
      <w:r w:rsidRPr="00FA24A0">
        <w:rPr>
          <w:i/>
          <w:iCs/>
        </w:rPr>
        <w:t>deplores the tendency to</w:t>
      </w:r>
      <w:r>
        <w:t xml:space="preserve"> [blank].</w:t>
      </w:r>
    </w:p>
    <w:p w14:paraId="6559D38A" w14:textId="600CF07C" w:rsidR="008360E2" w:rsidRDefault="008360E2" w:rsidP="005F5827">
      <w:pPr>
        <w:pStyle w:val="ListBullet"/>
      </w:pPr>
      <w:r w:rsidRPr="00FA24A0">
        <w:rPr>
          <w:i/>
          <w:iCs/>
        </w:rPr>
        <w:t>d</w:t>
      </w:r>
      <w:r w:rsidRPr="00FA24A0">
        <w:rPr>
          <w:i/>
          <w:iCs/>
        </w:rPr>
        <w:t>e</w:t>
      </w:r>
      <w:r>
        <w:rPr>
          <w:i/>
          <w:iCs/>
        </w:rPr>
        <w:t>nie</w:t>
      </w:r>
      <w:r w:rsidRPr="00FA24A0">
        <w:rPr>
          <w:i/>
          <w:iCs/>
        </w:rPr>
        <w:t>s</w:t>
      </w:r>
      <w:r w:rsidRPr="00FA24A0">
        <w:rPr>
          <w:i/>
          <w:iCs/>
        </w:rPr>
        <w:t>/does not deny that</w:t>
      </w:r>
      <w:r>
        <w:t xml:space="preserve"> [blank].</w:t>
      </w:r>
    </w:p>
    <w:p w14:paraId="42153AF6" w14:textId="77777777" w:rsidR="008360E2" w:rsidRDefault="008360E2" w:rsidP="005F5827">
      <w:pPr>
        <w:pStyle w:val="ListBullet"/>
      </w:pPr>
      <w:r w:rsidRPr="00FA24A0">
        <w:rPr>
          <w:i/>
          <w:iCs/>
        </w:rPr>
        <w:t>emphasizes that</w:t>
      </w:r>
      <w:r>
        <w:t xml:space="preserve"> [blank].</w:t>
      </w:r>
    </w:p>
    <w:p w14:paraId="4383CEE7" w14:textId="6ACF602A" w:rsidR="008360E2" w:rsidRDefault="008360E2" w:rsidP="005F5827">
      <w:pPr>
        <w:pStyle w:val="ListBullet"/>
      </w:pPr>
      <w:r w:rsidRPr="00FA24A0">
        <w:rPr>
          <w:i/>
          <w:iCs/>
        </w:rPr>
        <w:t>insists that</w:t>
      </w:r>
      <w:r>
        <w:t xml:space="preserve"> [blank].</w:t>
      </w:r>
    </w:p>
    <w:p w14:paraId="30A91BA7" w14:textId="60AD3F31" w:rsidR="008360E2" w:rsidRDefault="008360E2" w:rsidP="005F5827">
      <w:pPr>
        <w:pStyle w:val="ListBullet"/>
      </w:pPr>
      <w:r>
        <w:rPr>
          <w:i/>
          <w:iCs/>
        </w:rPr>
        <w:t xml:space="preserve">maintains that </w:t>
      </w:r>
      <w:r>
        <w:t>[blank].</w:t>
      </w:r>
    </w:p>
    <w:p w14:paraId="32A53E19" w14:textId="77777777" w:rsidR="008360E2" w:rsidRDefault="008360E2" w:rsidP="005F5827">
      <w:pPr>
        <w:pStyle w:val="ListBullet"/>
      </w:pPr>
      <w:r w:rsidRPr="008360E2">
        <w:rPr>
          <w:i/>
          <w:iCs/>
        </w:rPr>
        <w:t>observes that</w:t>
      </w:r>
      <w:r>
        <w:t xml:space="preserve"> [blank].</w:t>
      </w:r>
    </w:p>
    <w:p w14:paraId="084C182E" w14:textId="77777777" w:rsidR="008360E2" w:rsidRDefault="008360E2" w:rsidP="005F5827">
      <w:pPr>
        <w:pStyle w:val="ListBullet"/>
        <w:spacing w:after="240"/>
      </w:pPr>
      <w:r>
        <w:rPr>
          <w:i/>
          <w:iCs/>
        </w:rPr>
        <w:t xml:space="preserve">opines that </w:t>
      </w:r>
      <w:r>
        <w:t>[blank].</w:t>
      </w:r>
    </w:p>
    <w:p w14:paraId="6A48610B" w14:textId="77777777" w:rsidR="008360E2" w:rsidRDefault="008360E2" w:rsidP="005F5827">
      <w:pPr>
        <w:pStyle w:val="ListBullet"/>
      </w:pPr>
      <w:r w:rsidRPr="008360E2">
        <w:rPr>
          <w:i/>
          <w:iCs/>
        </w:rPr>
        <w:t>questions whether</w:t>
      </w:r>
      <w:r>
        <w:t xml:space="preserve"> [blank].</w:t>
      </w:r>
    </w:p>
    <w:p w14:paraId="75BFD602" w14:textId="77777777" w:rsidR="008360E2" w:rsidRDefault="008360E2" w:rsidP="005F5827">
      <w:pPr>
        <w:pStyle w:val="ListBullet"/>
      </w:pPr>
      <w:r w:rsidRPr="008360E2">
        <w:rPr>
          <w:i/>
          <w:iCs/>
        </w:rPr>
        <w:t>refutes the claim that</w:t>
      </w:r>
      <w:r>
        <w:t xml:space="preserve"> [blank].</w:t>
      </w:r>
    </w:p>
    <w:p w14:paraId="5B8203F6" w14:textId="77777777" w:rsidR="008360E2" w:rsidRDefault="008360E2" w:rsidP="005F5827">
      <w:pPr>
        <w:pStyle w:val="ListBullet"/>
      </w:pPr>
      <w:r w:rsidRPr="008360E2">
        <w:rPr>
          <w:i/>
          <w:iCs/>
        </w:rPr>
        <w:t>reminds us that</w:t>
      </w:r>
      <w:r>
        <w:t xml:space="preserve"> [blank].</w:t>
      </w:r>
    </w:p>
    <w:p w14:paraId="25DECA50" w14:textId="77777777" w:rsidR="008360E2" w:rsidRDefault="008360E2" w:rsidP="005F5827">
      <w:pPr>
        <w:pStyle w:val="ListBullet"/>
      </w:pPr>
      <w:r w:rsidRPr="008360E2">
        <w:rPr>
          <w:i/>
          <w:iCs/>
        </w:rPr>
        <w:t>reports that</w:t>
      </w:r>
      <w:r>
        <w:t xml:space="preserve"> [blank].</w:t>
      </w:r>
    </w:p>
    <w:p w14:paraId="6F041FA6" w14:textId="77777777" w:rsidR="008360E2" w:rsidRDefault="008360E2" w:rsidP="005F5827">
      <w:pPr>
        <w:pStyle w:val="ListBullet"/>
      </w:pPr>
      <w:r w:rsidRPr="008360E2">
        <w:rPr>
          <w:i/>
          <w:iCs/>
        </w:rPr>
        <w:t>suggests that</w:t>
      </w:r>
      <w:r>
        <w:t xml:space="preserve"> [blank].</w:t>
      </w:r>
    </w:p>
    <w:p w14:paraId="0C3F132D" w14:textId="77777777" w:rsidR="008360E2" w:rsidRDefault="008360E2" w:rsidP="005F5827">
      <w:pPr>
        <w:pStyle w:val="ListBullet"/>
        <w:spacing w:after="240"/>
      </w:pPr>
      <w:r w:rsidRPr="008360E2">
        <w:rPr>
          <w:i/>
          <w:iCs/>
        </w:rPr>
        <w:t>urges us to</w:t>
      </w:r>
      <w:r>
        <w:t xml:space="preserve"> [blank].</w:t>
      </w:r>
    </w:p>
    <w:p w14:paraId="34995B45" w14:textId="77777777" w:rsidR="005F5827" w:rsidRDefault="005F5827" w:rsidP="005F5827">
      <w:pPr>
        <w:pStyle w:val="Heading2"/>
        <w:sectPr w:rsidR="005F5827" w:rsidSect="005F5827">
          <w:type w:val="continuous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num="2" w:space="720"/>
          <w:titlePg/>
          <w:docGrid w:linePitch="326"/>
        </w:sectPr>
      </w:pPr>
    </w:p>
    <w:p w14:paraId="7E8B3E45" w14:textId="57FD89B9" w:rsidR="005F5827" w:rsidRDefault="005F5827" w:rsidP="005F5827">
      <w:pPr>
        <w:pStyle w:val="Heading2"/>
      </w:pPr>
      <w:r>
        <w:t>Introducing Quotations</w:t>
      </w:r>
    </w:p>
    <w:p w14:paraId="505C76DB" w14:textId="56955D6D" w:rsidR="005F5827" w:rsidRDefault="005F5827" w:rsidP="005F5827">
      <w:r>
        <w:t xml:space="preserve">These phrases alert </w:t>
      </w:r>
      <w:r w:rsidR="00F3631D">
        <w:t>your</w:t>
      </w:r>
      <w:r>
        <w:t xml:space="preserve"> reader that </w:t>
      </w:r>
      <w:r w:rsidR="00F3631D">
        <w:t>you</w:t>
      </w:r>
      <w:r>
        <w:t xml:space="preserve"> </w:t>
      </w:r>
      <w:r w:rsidR="00F3631D">
        <w:t>are</w:t>
      </w:r>
      <w:r>
        <w:t xml:space="preserve"> about to quote directly from another source. As with the phrases above, some are quite neutral, while others allow </w:t>
      </w:r>
      <w:r w:rsidR="00F3631D">
        <w:t>you</w:t>
      </w:r>
      <w:r>
        <w:t xml:space="preserve"> to imply things about the quote’s tone, similarity, contrast, and</w:t>
      </w:r>
      <w:r w:rsidR="00175FFA">
        <w:t>/or</w:t>
      </w:r>
      <w:r>
        <w:t xml:space="preserve"> significance in relation to other sources or to </w:t>
      </w:r>
      <w:r w:rsidR="00F3631D">
        <w:t>your</w:t>
      </w:r>
      <w:r>
        <w:t xml:space="preserve"> larger argument.</w:t>
      </w:r>
    </w:p>
    <w:p w14:paraId="19A657B5" w14:textId="77777777" w:rsidR="005F5827" w:rsidRDefault="005F5827" w:rsidP="005F5827">
      <w:pPr>
        <w:pStyle w:val="ListBullet"/>
        <w:sectPr w:rsidR="005F5827" w:rsidSect="005F5827">
          <w:type w:val="continuous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space="720"/>
          <w:titlePg/>
          <w:docGrid w:linePitch="326"/>
        </w:sectPr>
      </w:pPr>
    </w:p>
    <w:p w14:paraId="0648826F" w14:textId="58A6FF8B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>X states, “</w:t>
      </w:r>
      <w:r w:rsidRPr="008360E2">
        <w:t>[blank]</w:t>
      </w:r>
      <w:r w:rsidRPr="008360E2">
        <w:rPr>
          <w:i/>
          <w:iCs/>
        </w:rPr>
        <w:t>.”</w:t>
      </w:r>
    </w:p>
    <w:p w14:paraId="26C08BC1" w14:textId="16A978D2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>As X puts it, “</w:t>
      </w:r>
      <w:r w:rsidRPr="008360E2">
        <w:t>[blank]</w:t>
      </w:r>
      <w:r w:rsidRPr="008360E2">
        <w:rPr>
          <w:i/>
          <w:iCs/>
        </w:rPr>
        <w:t>.”</w:t>
      </w:r>
    </w:p>
    <w:p w14:paraId="43BE4421" w14:textId="30465EA4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>According to X, “</w:t>
      </w:r>
      <w:r w:rsidRPr="008360E2">
        <w:t>[blank]</w:t>
      </w:r>
      <w:r w:rsidRPr="008360E2">
        <w:rPr>
          <w:i/>
          <w:iCs/>
        </w:rPr>
        <w:t>.”</w:t>
      </w:r>
    </w:p>
    <w:p w14:paraId="754877BB" w14:textId="5C908B8C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>X writes, “</w:t>
      </w:r>
      <w:r w:rsidRPr="008360E2">
        <w:t>[blank]</w:t>
      </w:r>
      <w:r w:rsidRPr="008360E2">
        <w:rPr>
          <w:i/>
          <w:iCs/>
        </w:rPr>
        <w:t>.”</w:t>
      </w:r>
    </w:p>
    <w:p w14:paraId="782647A7" w14:textId="6EDBBF05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 xml:space="preserve">In her book/essay </w:t>
      </w:r>
      <w:r w:rsidRPr="008360E2">
        <w:t>[blank]</w:t>
      </w:r>
      <w:r w:rsidRPr="008360E2">
        <w:rPr>
          <w:i/>
          <w:iCs/>
        </w:rPr>
        <w:t>, X maintains that “</w:t>
      </w:r>
      <w:r w:rsidRPr="008360E2">
        <w:t>[blank]</w:t>
      </w:r>
      <w:r w:rsidRPr="008360E2">
        <w:rPr>
          <w:i/>
          <w:iCs/>
        </w:rPr>
        <w:t>.”</w:t>
      </w:r>
    </w:p>
    <w:p w14:paraId="6F97C248" w14:textId="494E5144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>Writing in the journal</w:t>
      </w:r>
      <w:r w:rsidRPr="008360E2">
        <w:rPr>
          <w:i/>
          <w:iCs/>
        </w:rPr>
        <w:t xml:space="preserve"> </w:t>
      </w:r>
      <w:r w:rsidRPr="008360E2">
        <w:t>[blank]</w:t>
      </w:r>
      <w:r w:rsidRPr="008360E2">
        <w:rPr>
          <w:i/>
          <w:iCs/>
        </w:rPr>
        <w:t xml:space="preserve">, </w:t>
      </w:r>
      <w:r w:rsidRPr="008360E2">
        <w:rPr>
          <w:i/>
          <w:iCs/>
        </w:rPr>
        <w:t>X complains that “</w:t>
      </w:r>
      <w:r w:rsidRPr="008360E2">
        <w:t>[blank]</w:t>
      </w:r>
      <w:r w:rsidRPr="008360E2">
        <w:rPr>
          <w:i/>
          <w:iCs/>
        </w:rPr>
        <w:t>.”</w:t>
      </w:r>
    </w:p>
    <w:p w14:paraId="2C0544A9" w14:textId="6AE60290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 xml:space="preserve">In X's view, </w:t>
      </w:r>
      <w:r w:rsidR="00175FFA" w:rsidRPr="008360E2">
        <w:rPr>
          <w:i/>
          <w:iCs/>
        </w:rPr>
        <w:t>“</w:t>
      </w:r>
      <w:r w:rsidRPr="008360E2">
        <w:t>[blank]</w:t>
      </w:r>
      <w:r w:rsidRPr="008360E2">
        <w:rPr>
          <w:i/>
          <w:iCs/>
        </w:rPr>
        <w:t>.</w:t>
      </w:r>
      <w:r w:rsidR="00175FFA" w:rsidRPr="008360E2">
        <w:rPr>
          <w:i/>
          <w:iCs/>
        </w:rPr>
        <w:t>”</w:t>
      </w:r>
    </w:p>
    <w:p w14:paraId="6127CEA6" w14:textId="0A522616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>X agrees when she writes, “</w:t>
      </w:r>
      <w:r w:rsidRPr="008360E2">
        <w:t>[blank]</w:t>
      </w:r>
      <w:r w:rsidRPr="008360E2">
        <w:rPr>
          <w:i/>
          <w:iCs/>
        </w:rPr>
        <w:t>.”</w:t>
      </w:r>
    </w:p>
    <w:p w14:paraId="4F2FAC8A" w14:textId="610EA80F" w:rsidR="005F5827" w:rsidRPr="008360E2" w:rsidRDefault="005F5827" w:rsidP="005F5827">
      <w:pPr>
        <w:pStyle w:val="ListBullet"/>
        <w:rPr>
          <w:i/>
          <w:iCs/>
        </w:rPr>
      </w:pPr>
      <w:r w:rsidRPr="008360E2">
        <w:rPr>
          <w:i/>
          <w:iCs/>
        </w:rPr>
        <w:t>X disagrees when he writes, “</w:t>
      </w:r>
      <w:r w:rsidRPr="008360E2">
        <w:t>[blank]</w:t>
      </w:r>
      <w:r w:rsidRPr="008360E2">
        <w:rPr>
          <w:i/>
          <w:iCs/>
        </w:rPr>
        <w:t>.”</w:t>
      </w:r>
    </w:p>
    <w:p w14:paraId="2671CF7D" w14:textId="2C0F0E5E" w:rsidR="005F5827" w:rsidRPr="008360E2" w:rsidRDefault="005F5827" w:rsidP="005F5827">
      <w:pPr>
        <w:pStyle w:val="ListBullet"/>
        <w:spacing w:after="240"/>
        <w:rPr>
          <w:i/>
          <w:iCs/>
        </w:rPr>
      </w:pPr>
      <w:r w:rsidRPr="008360E2">
        <w:rPr>
          <w:i/>
          <w:iCs/>
        </w:rPr>
        <w:t xml:space="preserve">X complicates matters further when </w:t>
      </w:r>
      <w:r w:rsidRPr="008360E2">
        <w:rPr>
          <w:i/>
          <w:iCs/>
        </w:rPr>
        <w:t>they</w:t>
      </w:r>
      <w:r w:rsidRPr="008360E2">
        <w:rPr>
          <w:i/>
          <w:iCs/>
        </w:rPr>
        <w:t xml:space="preserve"> write, “</w:t>
      </w:r>
      <w:r w:rsidRPr="008360E2">
        <w:t>[blank]</w:t>
      </w:r>
      <w:r w:rsidRPr="008360E2">
        <w:rPr>
          <w:i/>
          <w:iCs/>
        </w:rPr>
        <w:t>.”</w:t>
      </w:r>
    </w:p>
    <w:p w14:paraId="3E02101B" w14:textId="77777777" w:rsidR="005F5827" w:rsidRDefault="005F5827" w:rsidP="005F5827">
      <w:pPr>
        <w:pStyle w:val="Heading2"/>
        <w:sectPr w:rsidR="005F5827" w:rsidSect="005F5827">
          <w:type w:val="continuous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num="2" w:space="720"/>
          <w:titlePg/>
          <w:docGrid w:linePitch="326"/>
        </w:sectPr>
      </w:pPr>
    </w:p>
    <w:p w14:paraId="7731B12B" w14:textId="1D7F76EC" w:rsidR="005F5827" w:rsidRDefault="005F5827" w:rsidP="005F5827">
      <w:pPr>
        <w:pStyle w:val="Heading2"/>
      </w:pPr>
      <w:r>
        <w:lastRenderedPageBreak/>
        <w:t>Explaining Quotations</w:t>
      </w:r>
    </w:p>
    <w:p w14:paraId="4866B8C1" w14:textId="5B622B99" w:rsidR="005F5827" w:rsidRDefault="00F3631D" w:rsidP="005F5827">
      <w:r>
        <w:t>Remember that e</w:t>
      </w:r>
      <w:r w:rsidR="005F5827">
        <w:t>very paragraph must provide clarification, interpretation, or necessary analysis of a supplied quotation or paraphrase</w:t>
      </w:r>
      <w:r w:rsidR="008271AE">
        <w:t>; t</w:t>
      </w:r>
      <w:r w:rsidR="005F5827">
        <w:t xml:space="preserve">his allows </w:t>
      </w:r>
      <w:r>
        <w:t>you</w:t>
      </w:r>
      <w:r w:rsidR="005F5827">
        <w:t xml:space="preserve"> to explain not only the quote itself, but how it fits into </w:t>
      </w:r>
      <w:r>
        <w:t>your</w:t>
      </w:r>
      <w:r w:rsidR="005F5827">
        <w:t xml:space="preserve"> larger argument.</w:t>
      </w:r>
      <w:r>
        <w:t xml:space="preserve"> The</w:t>
      </w:r>
      <w:r w:rsidR="008271AE">
        <w:t xml:space="preserve"> phrases listed here </w:t>
      </w:r>
      <w:r>
        <w:t xml:space="preserve">are just some of the ways in which you can </w:t>
      </w:r>
      <w:r w:rsidR="007D5DE1">
        <w:t>alert</w:t>
      </w:r>
      <w:r>
        <w:t xml:space="preserve"> your reader that you are about to rephrase, clarify, expand, and otherwise analyze the source you</w:t>
      </w:r>
      <w:r w:rsidR="008271AE">
        <w:t xml:space="preserve"> have previously introduced.</w:t>
      </w:r>
    </w:p>
    <w:p w14:paraId="27CAA0F4" w14:textId="7030A383" w:rsidR="005F5827" w:rsidRPr="000A6CE9" w:rsidRDefault="005F5827" w:rsidP="005F5827">
      <w:pPr>
        <w:pStyle w:val="ListBullet"/>
        <w:rPr>
          <w:i/>
          <w:iCs/>
        </w:rPr>
      </w:pPr>
      <w:r w:rsidRPr="000A6CE9">
        <w:rPr>
          <w:i/>
          <w:iCs/>
        </w:rPr>
        <w:t xml:space="preserve">Basically/Essentially, X is saying </w:t>
      </w:r>
      <w:r w:rsidRPr="000A6CE9">
        <w:t>[blank]</w:t>
      </w:r>
      <w:r w:rsidRPr="000A6CE9">
        <w:rPr>
          <w:i/>
          <w:iCs/>
        </w:rPr>
        <w:t>.</w:t>
      </w:r>
    </w:p>
    <w:p w14:paraId="238D6624" w14:textId="14FDD247" w:rsidR="005F5827" w:rsidRPr="000A6CE9" w:rsidRDefault="005F5827" w:rsidP="005F5827">
      <w:pPr>
        <w:pStyle w:val="ListBullet"/>
        <w:rPr>
          <w:i/>
          <w:iCs/>
        </w:rPr>
      </w:pPr>
      <w:r w:rsidRPr="000A6CE9">
        <w:rPr>
          <w:i/>
          <w:iCs/>
        </w:rPr>
        <w:t xml:space="preserve">In other words, X believes </w:t>
      </w:r>
      <w:r w:rsidRPr="000A6CE9">
        <w:t>[blank]</w:t>
      </w:r>
      <w:r w:rsidRPr="000A6CE9">
        <w:rPr>
          <w:i/>
          <w:iCs/>
        </w:rPr>
        <w:t>.</w:t>
      </w:r>
    </w:p>
    <w:p w14:paraId="02944115" w14:textId="6878A0AB" w:rsidR="005F5827" w:rsidRPr="000A6CE9" w:rsidRDefault="005F5827" w:rsidP="005F5827">
      <w:pPr>
        <w:pStyle w:val="ListBullet"/>
        <w:rPr>
          <w:i/>
          <w:iCs/>
        </w:rPr>
      </w:pPr>
      <w:r w:rsidRPr="000A6CE9">
        <w:rPr>
          <w:i/>
          <w:iCs/>
        </w:rPr>
        <w:t xml:space="preserve">In making this comment, X urges us to </w:t>
      </w:r>
      <w:r w:rsidRPr="000A6CE9">
        <w:t>[blank]</w:t>
      </w:r>
      <w:r w:rsidRPr="000A6CE9">
        <w:rPr>
          <w:i/>
          <w:iCs/>
        </w:rPr>
        <w:t>.</w:t>
      </w:r>
    </w:p>
    <w:p w14:paraId="0C91797B" w14:textId="76B8A6C5" w:rsidR="005F5827" w:rsidRPr="000A6CE9" w:rsidRDefault="005F5827" w:rsidP="005F5827">
      <w:pPr>
        <w:pStyle w:val="ListBullet"/>
        <w:rPr>
          <w:i/>
          <w:iCs/>
        </w:rPr>
      </w:pPr>
      <w:r w:rsidRPr="000A6CE9">
        <w:rPr>
          <w:i/>
          <w:iCs/>
        </w:rPr>
        <w:t xml:space="preserve">X is corroborating the idea that </w:t>
      </w:r>
      <w:r w:rsidRPr="000A6CE9">
        <w:t>[blank]</w:t>
      </w:r>
      <w:r w:rsidRPr="000A6CE9">
        <w:rPr>
          <w:i/>
          <w:iCs/>
        </w:rPr>
        <w:t>.</w:t>
      </w:r>
    </w:p>
    <w:p w14:paraId="43EE15AA" w14:textId="24E2CDED" w:rsidR="005F5827" w:rsidRPr="000A6CE9" w:rsidRDefault="005F5827" w:rsidP="005F5827">
      <w:pPr>
        <w:pStyle w:val="ListBullet"/>
        <w:rPr>
          <w:i/>
          <w:iCs/>
        </w:rPr>
      </w:pPr>
      <w:r w:rsidRPr="000A6CE9">
        <w:rPr>
          <w:i/>
          <w:iCs/>
        </w:rPr>
        <w:t xml:space="preserve">X's point is that </w:t>
      </w:r>
      <w:r w:rsidRPr="000A6CE9">
        <w:t>[blank]</w:t>
      </w:r>
      <w:r w:rsidRPr="000A6CE9">
        <w:rPr>
          <w:i/>
          <w:iCs/>
        </w:rPr>
        <w:t>.</w:t>
      </w:r>
    </w:p>
    <w:p w14:paraId="28B3E350" w14:textId="14FD4141" w:rsidR="00E177E7" w:rsidRPr="000A6CE9" w:rsidRDefault="005F5827" w:rsidP="008271AE">
      <w:pPr>
        <w:pStyle w:val="ListBullet"/>
        <w:rPr>
          <w:i/>
          <w:iCs/>
        </w:rPr>
      </w:pPr>
      <w:r w:rsidRPr="000A6CE9">
        <w:rPr>
          <w:i/>
          <w:iCs/>
        </w:rPr>
        <w:t xml:space="preserve">The core/gist/meaning/significance of X' s argument is that </w:t>
      </w:r>
      <w:r w:rsidRPr="000A6CE9">
        <w:t>[blank]</w:t>
      </w:r>
      <w:r w:rsidRPr="000A6CE9">
        <w:rPr>
          <w:i/>
          <w:iCs/>
        </w:rPr>
        <w:t>.</w:t>
      </w:r>
    </w:p>
    <w:p w14:paraId="52BD26AA" w14:textId="4A4E77C5" w:rsidR="00175FFA" w:rsidRPr="00175FFA" w:rsidRDefault="007D5DE1" w:rsidP="00175FFA">
      <w:pPr>
        <w:spacing w:before="240"/>
      </w:pPr>
      <w:r>
        <w:t xml:space="preserve">And of course, remember that all outside sources must be cited correctly! </w:t>
      </w:r>
      <w:r w:rsidR="00175FFA">
        <w:t>For more information on how to effectively and accurately incorporate outside sources into your writing, please refer to the handout on “</w:t>
      </w:r>
      <w:r w:rsidR="00175FFA" w:rsidRPr="00175FFA">
        <w:t xml:space="preserve">Working </w:t>
      </w:r>
      <w:r w:rsidR="00175FFA">
        <w:t>w</w:t>
      </w:r>
      <w:r w:rsidR="00175FFA" w:rsidRPr="00175FFA">
        <w:t>ith Quotations</w:t>
      </w:r>
      <w:r w:rsidR="00175FFA">
        <w:t>.”</w:t>
      </w:r>
    </w:p>
    <w:p w14:paraId="620AB55B" w14:textId="4D9A8F5B" w:rsidR="00E177E7" w:rsidRPr="00516821" w:rsidRDefault="00655B28" w:rsidP="00FA24A0">
      <w:pPr>
        <w:pStyle w:val="Credit"/>
        <w:spacing w:after="4800"/>
      </w:pPr>
      <w:r>
        <w:t>Credit</w:t>
      </w:r>
      <w:r w:rsidR="00E177E7" w:rsidRPr="00B2182C">
        <w:t xml:space="preserve">: </w:t>
      </w:r>
      <w:r w:rsidR="008271AE">
        <w:t>A</w:t>
      </w:r>
      <w:r w:rsidR="005F5827" w:rsidRPr="005F5827">
        <w:t xml:space="preserve">dapted from Gerald Graff and Cathy Birkenstein, </w:t>
      </w:r>
      <w:r w:rsidR="005F5827" w:rsidRPr="00FA24A0">
        <w:rPr>
          <w:i/>
          <w:iCs/>
        </w:rPr>
        <w:t xml:space="preserve">They Say/I Say: The Moves that Matter in Academic Writing </w:t>
      </w:r>
      <w:r w:rsidR="005F5827" w:rsidRPr="005F5827">
        <w:t>(New York: W.W. Norton, 2014) and David Glen Smith</w:t>
      </w:r>
      <w:r w:rsidR="008271AE">
        <w:t xml:space="preserve"> (</w:t>
      </w:r>
      <w:r w:rsidR="008271AE" w:rsidRPr="00FA24A0">
        <w:t>http://www.davidglensmith.com/Tomball/supplemental/signal-phrases.pdf</w:t>
      </w:r>
      <w:r w:rsidR="008271AE">
        <w:t>) by Robert B. Cochran, Brandeis University Writing Program,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62CFE8D7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BC45EB">
        <w:t>www.brandeis.edu/UWP</w:t>
      </w:r>
      <w:r w:rsidRPr="00C13E78">
        <w:t xml:space="preserve"> or write to </w:t>
      </w:r>
      <w:r w:rsidRPr="00BC45EB">
        <w:t>UWP@brandeis.edu</w:t>
      </w:r>
      <w:r w:rsidRPr="00C13E78">
        <w:t>.</w:t>
      </w:r>
    </w:p>
    <w:sectPr w:rsidR="006A1C82" w:rsidRPr="00C13E78" w:rsidSect="005F5827">
      <w:type w:val="continuous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F4164" w14:textId="77777777" w:rsidR="00030AD6" w:rsidRDefault="00030AD6">
      <w:r>
        <w:separator/>
      </w:r>
    </w:p>
  </w:endnote>
  <w:endnote w:type="continuationSeparator" w:id="0">
    <w:p w14:paraId="69359C7B" w14:textId="77777777" w:rsidR="00030AD6" w:rsidRDefault="0003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D178" w14:textId="77777777" w:rsidR="00030AD6" w:rsidRDefault="00030AD6">
      <w:r>
        <w:separator/>
      </w:r>
    </w:p>
  </w:footnote>
  <w:footnote w:type="continuationSeparator" w:id="0">
    <w:p w14:paraId="557EECF6" w14:textId="77777777" w:rsidR="00030AD6" w:rsidRDefault="0003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030AD6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09667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0835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2E5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54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BEAD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8FC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0E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A0D3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4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9"/>
  </w:num>
  <w:num w:numId="25">
    <w:abstractNumId w:val="13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5"/>
  </w:num>
  <w:num w:numId="31">
    <w:abstractNumId w:val="16"/>
  </w:num>
  <w:num w:numId="3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30AD6"/>
    <w:rsid w:val="0005783C"/>
    <w:rsid w:val="00060D89"/>
    <w:rsid w:val="000613F9"/>
    <w:rsid w:val="000627BF"/>
    <w:rsid w:val="0006458F"/>
    <w:rsid w:val="0007348A"/>
    <w:rsid w:val="000747F1"/>
    <w:rsid w:val="000915C4"/>
    <w:rsid w:val="00092BBB"/>
    <w:rsid w:val="000A6CE9"/>
    <w:rsid w:val="000D5F28"/>
    <w:rsid w:val="000E4008"/>
    <w:rsid w:val="000E688D"/>
    <w:rsid w:val="00103918"/>
    <w:rsid w:val="00114E14"/>
    <w:rsid w:val="00126A2D"/>
    <w:rsid w:val="0013025A"/>
    <w:rsid w:val="00145C22"/>
    <w:rsid w:val="0014690E"/>
    <w:rsid w:val="0015130D"/>
    <w:rsid w:val="001518A7"/>
    <w:rsid w:val="001624AA"/>
    <w:rsid w:val="001658EB"/>
    <w:rsid w:val="00175FFA"/>
    <w:rsid w:val="0018557A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F0"/>
    <w:rsid w:val="003A6B3C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5F5827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5DE1"/>
    <w:rsid w:val="00804E18"/>
    <w:rsid w:val="008159D9"/>
    <w:rsid w:val="008271AE"/>
    <w:rsid w:val="008360E2"/>
    <w:rsid w:val="00843254"/>
    <w:rsid w:val="00845275"/>
    <w:rsid w:val="00855A60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C45EB"/>
    <w:rsid w:val="00BD36EA"/>
    <w:rsid w:val="00BE12F3"/>
    <w:rsid w:val="00BF402E"/>
    <w:rsid w:val="00C0491F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3631D"/>
    <w:rsid w:val="00F448F1"/>
    <w:rsid w:val="00F521CA"/>
    <w:rsid w:val="00F601D0"/>
    <w:rsid w:val="00F62207"/>
    <w:rsid w:val="00F707DB"/>
    <w:rsid w:val="00F83CFC"/>
    <w:rsid w:val="00FA24A0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5F5827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479</Words>
  <Characters>2845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Stop Punctuation, Fragments, and Commas</vt:lpstr>
    </vt:vector>
  </TitlesOfParts>
  <Manager/>
  <Company>Brandeis University</Company>
  <LinksUpToDate>false</LinksUpToDate>
  <CharactersWithSpaces>3266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for Introducing Sources and Quotations</dc:title>
  <dc:subject/>
  <dc:creator>University Writing Program</dc:creator>
  <cp:keywords>sources, quotations, word choice, citation</cp:keywords>
  <dc:description/>
  <cp:lastModifiedBy>Robert Cochran</cp:lastModifiedBy>
  <cp:revision>25</cp:revision>
  <cp:lastPrinted>2020-07-13T17:52:00Z</cp:lastPrinted>
  <dcterms:created xsi:type="dcterms:W3CDTF">2020-07-30T13:12:00Z</dcterms:created>
  <dcterms:modified xsi:type="dcterms:W3CDTF">2020-09-26T18:32:00Z</dcterms:modified>
  <cp:category/>
</cp:coreProperties>
</file>